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8"/>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9" w:lineRule="exact"/>
        <w:rPr>
          <w:sz w:val="24"/>
          <w:szCs w:val="24"/>
          <w:color w:val="auto"/>
        </w:rPr>
      </w:pPr>
    </w:p>
    <w:p>
      <w:pPr>
        <w:jc w:val="center"/>
        <w:ind w:right="-1088"/>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ind w:left="4508"/>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2552065</wp:posOffset>
            </wp:positionH>
            <wp:positionV relativeFrom="paragraph">
              <wp:posOffset>186690</wp:posOffset>
            </wp:positionV>
            <wp:extent cx="20231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088"/>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54" w:lineRule="exact"/>
        <w:rPr>
          <w:sz w:val="24"/>
          <w:szCs w:val="24"/>
          <w:color w:val="auto"/>
        </w:rPr>
      </w:pPr>
    </w:p>
    <w:p>
      <w:pPr>
        <w:jc w:val="center"/>
        <w:ind w:right="-1088"/>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88"/>
        <w:spacing w:after="0" w:line="222"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088"/>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2552065</wp:posOffset>
            </wp:positionH>
            <wp:positionV relativeFrom="paragraph">
              <wp:posOffset>184150</wp:posOffset>
            </wp:positionV>
            <wp:extent cx="2023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8"/>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Filed by a party other than the Registrant </w:t>
      </w:r>
      <w:r>
        <w:rPr>
          <w:rFonts w:ascii="MS PGothic" w:cs="MS PGothic" w:eastAsia="MS PGothic" w:hAnsi="MS PGothic"/>
          <w:sz w:val="16"/>
          <w:szCs w:val="16"/>
          <w:color w:val="auto"/>
        </w:rPr>
        <w:t>☐</w:t>
      </w:r>
    </w:p>
    <w:p>
      <w:pPr>
        <w:spacing w:after="0" w:line="27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235" w:lineRule="exact"/>
        <w:rPr>
          <w:sz w:val="24"/>
          <w:szCs w:val="24"/>
          <w:color w:val="auto"/>
        </w:rPr>
      </w:pPr>
    </w:p>
    <w:p>
      <w:pPr>
        <w:ind w:left="308" w:hanging="308"/>
        <w:spacing w:after="0"/>
        <w:tabs>
          <w:tab w:leader="none" w:pos="308"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232" w:lineRule="exact"/>
        <w:rPr>
          <w:rFonts w:ascii="MS PGothic" w:cs="MS PGothic" w:eastAsia="MS PGothic" w:hAnsi="MS PGothic"/>
          <w:sz w:val="16"/>
          <w:szCs w:val="16"/>
          <w:color w:val="auto"/>
        </w:rPr>
      </w:pPr>
    </w:p>
    <w:p>
      <w:pPr>
        <w:ind w:left="308" w:hanging="308"/>
        <w:spacing w:after="0"/>
        <w:tabs>
          <w:tab w:leader="none" w:pos="308"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236" w:lineRule="exact"/>
        <w:rPr>
          <w:rFonts w:ascii="MS PGothic" w:cs="MS PGothic" w:eastAsia="MS PGothic" w:hAnsi="MS PGothic"/>
          <w:sz w:val="16"/>
          <w:szCs w:val="16"/>
          <w:color w:val="auto"/>
        </w:rPr>
      </w:pPr>
    </w:p>
    <w:p>
      <w:pPr>
        <w:ind w:left="308" w:hanging="308"/>
        <w:spacing w:after="0"/>
        <w:tabs>
          <w:tab w:leader="none" w:pos="308"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248" w:lineRule="exact"/>
        <w:rPr>
          <w:sz w:val="24"/>
          <w:szCs w:val="24"/>
          <w:color w:val="auto"/>
        </w:rPr>
      </w:pPr>
    </w:p>
    <w:p>
      <w:pPr>
        <w:ind w:left="308" w:hanging="308"/>
        <w:spacing w:after="0"/>
        <w:tabs>
          <w:tab w:leader="none" w:pos="308"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235" w:lineRule="exact"/>
        <w:rPr>
          <w:sz w:val="24"/>
          <w:szCs w:val="24"/>
          <w:color w:val="auto"/>
        </w:rPr>
      </w:pPr>
    </w:p>
    <w:p>
      <w:pPr>
        <w:ind w:left="308" w:hanging="308"/>
        <w:spacing w:after="0"/>
        <w:tabs>
          <w:tab w:leader="none" w:pos="308"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§240.14a-12</w:t>
      </w:r>
    </w:p>
    <w:p>
      <w:pPr>
        <w:spacing w:after="0" w:line="200" w:lineRule="exact"/>
        <w:rPr>
          <w:sz w:val="24"/>
          <w:szCs w:val="24"/>
          <w:color w:val="auto"/>
        </w:rPr>
      </w:pPr>
    </w:p>
    <w:p>
      <w:pPr>
        <w:spacing w:after="0" w:line="231" w:lineRule="exact"/>
        <w:rPr>
          <w:sz w:val="24"/>
          <w:szCs w:val="24"/>
          <w:color w:val="auto"/>
        </w:rPr>
      </w:pPr>
    </w:p>
    <w:p>
      <w:pPr>
        <w:jc w:val="center"/>
        <w:ind w:right="-1088"/>
        <w:spacing w:after="0"/>
        <w:rPr>
          <w:sz w:val="20"/>
          <w:szCs w:val="20"/>
          <w:color w:val="auto"/>
        </w:rPr>
      </w:pPr>
      <w:r>
        <w:rPr>
          <w:rFonts w:ascii="Times New Roman" w:cs="Times New Roman" w:eastAsia="Times New Roman" w:hAnsi="Times New Roman"/>
          <w:sz w:val="32"/>
          <w:szCs w:val="32"/>
          <w:b w:val="1"/>
          <w:bCs w:val="1"/>
          <w:color w:val="auto"/>
        </w:rPr>
        <w:t>ARTISAN PARTNERS ASSET MANAGEMENT INC.</w:t>
      </w:r>
    </w:p>
    <w:p>
      <w:pPr>
        <w:spacing w:after="0" w:line="7" w:lineRule="exact"/>
        <w:rPr>
          <w:sz w:val="24"/>
          <w:szCs w:val="24"/>
          <w:color w:val="auto"/>
        </w:rPr>
      </w:pPr>
    </w:p>
    <w:p>
      <w:pPr>
        <w:ind w:left="3948"/>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233" w:lineRule="exact"/>
        <w:rPr>
          <w:sz w:val="24"/>
          <w:szCs w:val="24"/>
          <w:color w:val="auto"/>
        </w:rPr>
      </w:pPr>
    </w:p>
    <w:p>
      <w:pPr>
        <w:ind w:left="3328"/>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4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pacing w:after="0" w:line="235" w:lineRule="exact"/>
        <w:rPr>
          <w:sz w:val="24"/>
          <w:szCs w:val="24"/>
          <w:color w:val="auto"/>
        </w:rPr>
      </w:pPr>
    </w:p>
    <w:p>
      <w:pPr>
        <w:ind w:left="348" w:hanging="348"/>
        <w:spacing w:after="0"/>
        <w:tabs>
          <w:tab w:leader="none" w:pos="348"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235" w:lineRule="exact"/>
        <w:rPr>
          <w:sz w:val="24"/>
          <w:szCs w:val="24"/>
          <w:color w:val="auto"/>
        </w:rPr>
      </w:pPr>
    </w:p>
    <w:p>
      <w:pPr>
        <w:ind w:left="308" w:hanging="308"/>
        <w:spacing w:after="0"/>
        <w:tabs>
          <w:tab w:leader="none" w:pos="308"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below per Exchange Act Rules 14a-6(i)(1) and 0-11.</w:t>
      </w:r>
    </w:p>
    <w:p>
      <w:pPr>
        <w:spacing w:after="0" w:line="234" w:lineRule="exact"/>
        <w:rPr>
          <w:rFonts w:ascii="MS PGothic" w:cs="MS PGothic" w:eastAsia="MS PGothic" w:hAnsi="MS PGothic"/>
          <w:sz w:val="16"/>
          <w:szCs w:val="16"/>
          <w:color w:val="auto"/>
        </w:rPr>
      </w:pPr>
    </w:p>
    <w:p>
      <w:pPr>
        <w:ind w:left="988" w:hanging="344"/>
        <w:spacing w:after="0"/>
        <w:tabs>
          <w:tab w:leader="none" w:pos="988"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of each class of securities to which transaction applies:</w:t>
      </w:r>
    </w:p>
    <w:p>
      <w:pPr>
        <w:spacing w:after="0" w:line="302" w:lineRule="exact"/>
        <w:rPr>
          <w:rFonts w:ascii="Times New Roman" w:cs="Times New Roman" w:eastAsia="Times New Roman" w:hAnsi="Times New Roman"/>
          <w:sz w:val="16"/>
          <w:szCs w:val="16"/>
          <w:color w:val="auto"/>
        </w:rPr>
      </w:pPr>
    </w:p>
    <w:p>
      <w:pPr>
        <w:ind w:left="1028" w:hanging="384"/>
        <w:spacing w:after="0"/>
        <w:tabs>
          <w:tab w:leader="none" w:pos="1028"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number of securities to which transaction applies:</w:t>
      </w:r>
    </w:p>
    <w:p>
      <w:pPr>
        <w:spacing w:after="0" w:line="315" w:lineRule="exact"/>
        <w:rPr>
          <w:rFonts w:ascii="Times New Roman" w:cs="Times New Roman" w:eastAsia="Times New Roman" w:hAnsi="Times New Roman"/>
          <w:sz w:val="16"/>
          <w:szCs w:val="16"/>
          <w:color w:val="auto"/>
        </w:rPr>
      </w:pPr>
    </w:p>
    <w:p>
      <w:pPr>
        <w:ind w:left="1288" w:right="979" w:hanging="644"/>
        <w:spacing w:after="0" w:line="234" w:lineRule="auto"/>
        <w:tabs>
          <w:tab w:leader="none" w:pos="991"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unit price or other underlying value of transaction computed pursuant to Exchange Act Rule 0-11 (set forth the amount on which the filing fee is calculated and state how it was determined):</w:t>
      </w:r>
    </w:p>
    <w:p>
      <w:pPr>
        <w:spacing w:after="0" w:line="275" w:lineRule="exact"/>
        <w:rPr>
          <w:rFonts w:ascii="Times New Roman" w:cs="Times New Roman" w:eastAsia="Times New Roman" w:hAnsi="Times New Roman"/>
          <w:sz w:val="16"/>
          <w:szCs w:val="16"/>
          <w:color w:val="auto"/>
        </w:rPr>
      </w:pPr>
    </w:p>
    <w:p>
      <w:pPr>
        <w:ind w:left="1028" w:hanging="384"/>
        <w:spacing w:after="0"/>
        <w:tabs>
          <w:tab w:leader="none" w:pos="1028"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Proposed maximum aggregate value of transaction:</w:t>
      </w:r>
    </w:p>
    <w:p>
      <w:pPr>
        <w:spacing w:after="0" w:line="315" w:lineRule="exact"/>
        <w:rPr>
          <w:rFonts w:ascii="Times New Roman" w:cs="Times New Roman" w:eastAsia="Times New Roman" w:hAnsi="Times New Roman"/>
          <w:sz w:val="16"/>
          <w:szCs w:val="16"/>
          <w:color w:val="auto"/>
        </w:rPr>
      </w:pPr>
    </w:p>
    <w:p>
      <w:pPr>
        <w:ind w:left="1028" w:hanging="384"/>
        <w:spacing w:after="0"/>
        <w:tabs>
          <w:tab w:leader="none" w:pos="1028"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fee paid:</w:t>
      </w:r>
    </w:p>
    <w:p>
      <w:pPr>
        <w:spacing w:after="0" w:line="302" w:lineRule="exact"/>
        <w:rPr>
          <w:rFonts w:ascii="Times New Roman" w:cs="Times New Roman" w:eastAsia="Times New Roman" w:hAnsi="Times New Roman"/>
          <w:sz w:val="16"/>
          <w:szCs w:val="16"/>
          <w:color w:val="auto"/>
        </w:rPr>
      </w:pPr>
    </w:p>
    <w:p>
      <w:pPr>
        <w:ind w:left="308" w:hanging="308"/>
        <w:spacing w:after="0"/>
        <w:tabs>
          <w:tab w:leader="none" w:pos="308"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207" w:lineRule="exact"/>
        <w:rPr>
          <w:rFonts w:ascii="MS PGothic" w:cs="MS PGothic" w:eastAsia="MS PGothic" w:hAnsi="MS PGothic"/>
          <w:sz w:val="16"/>
          <w:szCs w:val="16"/>
          <w:color w:val="auto"/>
        </w:rPr>
      </w:pPr>
    </w:p>
    <w:p>
      <w:pPr>
        <w:jc w:val="right"/>
        <w:ind w:left="648" w:right="919" w:hanging="648"/>
        <w:spacing w:after="0" w:line="234" w:lineRule="auto"/>
        <w:tabs>
          <w:tab w:leader="none" w:pos="311"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7" w:lineRule="exact"/>
        <w:rPr>
          <w:rFonts w:ascii="MS PGothic" w:cs="MS PGothic" w:eastAsia="MS PGothic" w:hAnsi="MS PGothic"/>
          <w:sz w:val="16"/>
          <w:szCs w:val="16"/>
          <w:color w:val="auto"/>
        </w:rPr>
      </w:pPr>
    </w:p>
    <w:p>
      <w:pPr>
        <w:ind w:left="988" w:hanging="344"/>
        <w:spacing w:after="0"/>
        <w:tabs>
          <w:tab w:leader="none" w:pos="988"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Previously Paid:</w:t>
      </w:r>
    </w:p>
    <w:p>
      <w:pPr>
        <w:spacing w:after="0" w:line="315" w:lineRule="exact"/>
        <w:rPr>
          <w:rFonts w:ascii="Times New Roman" w:cs="Times New Roman" w:eastAsia="Times New Roman" w:hAnsi="Times New Roman"/>
          <w:sz w:val="16"/>
          <w:szCs w:val="16"/>
          <w:color w:val="auto"/>
        </w:rPr>
      </w:pPr>
    </w:p>
    <w:p>
      <w:pPr>
        <w:ind w:left="988" w:hanging="344"/>
        <w:spacing w:after="0"/>
        <w:tabs>
          <w:tab w:leader="none" w:pos="988"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Schedule or Registration Statement No.:</w:t>
      </w:r>
    </w:p>
    <w:p>
      <w:pPr>
        <w:spacing w:after="0" w:line="302" w:lineRule="exact"/>
        <w:rPr>
          <w:rFonts w:ascii="Times New Roman" w:cs="Times New Roman" w:eastAsia="Times New Roman" w:hAnsi="Times New Roman"/>
          <w:sz w:val="16"/>
          <w:szCs w:val="16"/>
          <w:color w:val="auto"/>
        </w:rPr>
      </w:pPr>
    </w:p>
    <w:p>
      <w:pPr>
        <w:ind w:left="988" w:hanging="344"/>
        <w:spacing w:after="0"/>
        <w:tabs>
          <w:tab w:leader="none" w:pos="988"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Filing Party:</w:t>
      </w:r>
    </w:p>
    <w:p>
      <w:pPr>
        <w:spacing w:after="0" w:line="315" w:lineRule="exact"/>
        <w:rPr>
          <w:rFonts w:ascii="Times New Roman" w:cs="Times New Roman" w:eastAsia="Times New Roman" w:hAnsi="Times New Roman"/>
          <w:sz w:val="16"/>
          <w:szCs w:val="16"/>
          <w:color w:val="auto"/>
        </w:rPr>
      </w:pPr>
    </w:p>
    <w:p>
      <w:pPr>
        <w:ind w:left="988" w:hanging="344"/>
        <w:spacing w:after="0"/>
        <w:tabs>
          <w:tab w:leader="none" w:pos="988"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957580</wp:posOffset>
            </wp:positionH>
            <wp:positionV relativeFrom="paragraph">
              <wp:posOffset>-3021965</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-2713355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-2310765</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-1993265</wp:posOffset>
            </wp:positionV>
            <wp:extent cx="6172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-1684655</wp:posOffset>
            </wp:positionV>
            <wp:extent cx="61722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-784860</wp:posOffset>
            </wp:positionV>
            <wp:extent cx="61722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-467360</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-158750</wp:posOffset>
            </wp:positionV>
            <wp:extent cx="6172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157480</wp:posOffset>
            </wp:positionV>
            <wp:extent cx="6172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10128"/>
          </w:cols>
          <w:pgMar w:left="332" w:top="52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231F20"/>
        </w:rPr>
        <w:t>Important Notice Regarding the Availability of Proxy Materials for the Stockholder Meeting of</w:t>
      </w:r>
    </w:p>
    <w:p>
      <w:pPr>
        <w:spacing w:after="0" w:line="4"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40"/>
          <w:szCs w:val="40"/>
          <w:b w:val="1"/>
          <w:bCs w:val="1"/>
          <w:color w:val="231F20"/>
        </w:rPr>
        <w:t>ARTISAN PARTNERS ASSET MANAGEMENT INC.</w:t>
      </w:r>
    </w:p>
    <w:p>
      <w:pPr>
        <w:ind w:left="5340"/>
        <w:spacing w:after="0" w:line="230" w:lineRule="auto"/>
        <w:rPr>
          <w:sz w:val="20"/>
          <w:szCs w:val="20"/>
          <w:color w:val="auto"/>
        </w:rPr>
      </w:pPr>
      <w:r>
        <w:rPr>
          <w:rFonts w:ascii="Times New Roman" w:cs="Times New Roman" w:eastAsia="Times New Roman" w:hAnsi="Times New Roman"/>
          <w:sz w:val="22"/>
          <w:szCs w:val="22"/>
          <w:b w:val="1"/>
          <w:bCs w:val="1"/>
          <w:color w:val="231F20"/>
        </w:rPr>
        <w:t>To Be Held On:</w:t>
      </w:r>
    </w:p>
    <w:p>
      <w:pPr>
        <w:ind w:left="4440"/>
        <w:spacing w:after="0" w:line="231" w:lineRule="auto"/>
        <w:rPr>
          <w:sz w:val="20"/>
          <w:szCs w:val="20"/>
          <w:color w:val="auto"/>
        </w:rPr>
      </w:pPr>
      <w:r>
        <w:rPr>
          <w:rFonts w:ascii="Times New Roman" w:cs="Times New Roman" w:eastAsia="Times New Roman" w:hAnsi="Times New Roman"/>
          <w:sz w:val="22"/>
          <w:szCs w:val="22"/>
          <w:b w:val="1"/>
          <w:bCs w:val="1"/>
          <w:color w:val="231F20"/>
        </w:rPr>
        <w:t>June 3, 2026 at 11:00 a.m. CT</w:t>
      </w:r>
    </w:p>
    <w:p>
      <w:pPr>
        <w:ind w:left="2220"/>
        <w:spacing w:after="0"/>
        <w:rPr>
          <w:sz w:val="20"/>
          <w:szCs w:val="20"/>
          <w:color w:val="auto"/>
        </w:rPr>
      </w:pPr>
      <w:r>
        <w:rPr>
          <w:rFonts w:ascii="Times New Roman" w:cs="Times New Roman" w:eastAsia="Times New Roman" w:hAnsi="Times New Roman"/>
          <w:sz w:val="22"/>
          <w:szCs w:val="22"/>
          <w:b w:val="1"/>
          <w:bCs w:val="1"/>
          <w:color w:val="231F20"/>
        </w:rPr>
        <w:t xml:space="preserve">via live webcast at </w:t>
      </w:r>
      <w:r>
        <w:rPr>
          <w:rFonts w:ascii="Times New Roman" w:cs="Times New Roman" w:eastAsia="Times New Roman" w:hAnsi="Times New Roman"/>
          <w:sz w:val="22"/>
          <w:szCs w:val="22"/>
          <w:b w:val="1"/>
          <w:bCs w:val="1"/>
          <w:u w:val="single" w:color="auto"/>
          <w:color w:val="231F20"/>
        </w:rPr>
        <w:t>edge.media-server.com/mmc/p/mddmoibn</w:t>
      </w:r>
      <w:r>
        <w:rPr>
          <w:rFonts w:ascii="Times New Roman" w:cs="Times New Roman" w:eastAsia="Times New Roman" w:hAnsi="Times New Roman"/>
          <w:sz w:val="22"/>
          <w:szCs w:val="22"/>
          <w:b w:val="1"/>
          <w:bCs w:val="1"/>
          <w:color w:val="231F20"/>
        </w:rPr>
        <w:t xml:space="preserve"> (password: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4445</wp:posOffset>
            </wp:positionV>
            <wp:extent cx="2872105" cy="523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72105" cy="523240"/>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8"/>
          <w:szCs w:val="18"/>
          <w:b w:val="1"/>
          <w:bCs w:val="1"/>
          <w:color w:val="231F20"/>
        </w:rPr>
        <w:t>COMPANY NUMBER</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231F20"/>
        </w:rPr>
        <w:t>ACCOUNT NUMBER</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231F20"/>
        </w:rPr>
        <w:t>CONTROL NUMBER</w:t>
      </w:r>
    </w:p>
    <w:p>
      <w:pPr>
        <w:spacing w:after="0" w:line="178" w:lineRule="exact"/>
        <w:rPr>
          <w:sz w:val="20"/>
          <w:szCs w:val="20"/>
          <w:color w:val="auto"/>
        </w:rPr>
      </w:pPr>
    </w:p>
    <w:p>
      <w:pPr>
        <w:ind w:right="260"/>
        <w:spacing w:after="0" w:line="336" w:lineRule="auto"/>
        <w:rPr>
          <w:sz w:val="20"/>
          <w:szCs w:val="20"/>
          <w:color w:val="auto"/>
        </w:rPr>
      </w:pPr>
      <w:r>
        <w:rPr>
          <w:rFonts w:ascii="Times New Roman" w:cs="Times New Roman" w:eastAsia="Times New Roman" w:hAnsi="Times New Roman"/>
          <w:sz w:val="16"/>
          <w:szCs w:val="16"/>
          <w:b w:val="1"/>
          <w:bCs w:val="1"/>
          <w:color w:val="231F20"/>
        </w:rPr>
        <w:t>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187" w:lineRule="exact"/>
        <w:rPr>
          <w:sz w:val="20"/>
          <w:szCs w:val="20"/>
          <w:color w:val="auto"/>
        </w:rPr>
      </w:pPr>
    </w:p>
    <w:p>
      <w:pPr>
        <w:ind w:right="440"/>
        <w:spacing w:after="0" w:line="336" w:lineRule="auto"/>
        <w:rPr>
          <w:sz w:val="20"/>
          <w:szCs w:val="20"/>
          <w:color w:val="auto"/>
        </w:rPr>
      </w:pPr>
      <w:r>
        <w:rPr>
          <w:rFonts w:ascii="Times New Roman" w:cs="Times New Roman" w:eastAsia="Times New Roman" w:hAnsi="Times New Roman"/>
          <w:sz w:val="16"/>
          <w:szCs w:val="16"/>
          <w:b w:val="1"/>
          <w:bCs w:val="1"/>
          <w:color w:val="231F20"/>
        </w:rPr>
        <w:t>If you want to receive a paper or e-mail copy of the proxy materials you must request one. There is no charge to you for requesting a copy. To facilitate timely delivery please make the request as instructed below before May 20,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 xml:space="preserve">Please visit </w:t>
      </w:r>
      <w:r>
        <w:rPr>
          <w:rFonts w:ascii="Times New Roman" w:cs="Times New Roman" w:eastAsia="Times New Roman" w:hAnsi="Times New Roman"/>
          <w:sz w:val="16"/>
          <w:szCs w:val="16"/>
          <w:b w:val="1"/>
          <w:bCs w:val="1"/>
          <w:u w:val="single" w:color="auto"/>
          <w:color w:val="231F20"/>
        </w:rPr>
        <w:t>http://www.astproxyportal.com/ast/18158</w:t>
      </w:r>
      <w:r>
        <w:rPr>
          <w:rFonts w:ascii="Times New Roman" w:cs="Times New Roman" w:eastAsia="Times New Roman" w:hAnsi="Times New Roman"/>
          <w:sz w:val="16"/>
          <w:szCs w:val="16"/>
          <w:b w:val="1"/>
          <w:bCs w:val="1"/>
          <w:color w:val="231F20"/>
        </w:rPr>
        <w:t>, where the following materials are available for review:</w:t>
      </w:r>
    </w:p>
    <w:p>
      <w:pPr>
        <w:spacing w:after="0" w:line="2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6"/>
          <w:szCs w:val="16"/>
          <w:color w:val="231F20"/>
        </w:rPr>
        <w:t>Notice of Annual Meeting of Stockholders and Proxy Statement</w:t>
      </w:r>
    </w:p>
    <w:p>
      <w:pPr>
        <w:spacing w:after="0" w:line="2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6"/>
          <w:szCs w:val="16"/>
          <w:color w:val="231F20"/>
        </w:rPr>
        <w:t>Form of Electronic Proxy Card</w:t>
      </w:r>
    </w:p>
    <w:p>
      <w:pPr>
        <w:spacing w:after="0" w:line="1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6"/>
          <w:szCs w:val="16"/>
          <w:color w:val="231F20"/>
        </w:rPr>
        <w:t>Annual Report on Form 10-K</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2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 REQUEST MATERIAL:</w:t>
            </w:r>
          </w:p>
        </w:tc>
        <w:tc>
          <w:tcPr>
            <w:tcW w:w="84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TELEPHONE: 1-</w:t>
            </w:r>
            <w:r>
              <w:rPr>
                <w:rFonts w:ascii="Times New Roman" w:cs="Times New Roman" w:eastAsia="Times New Roman" w:hAnsi="Times New Roman"/>
                <w:sz w:val="16"/>
                <w:szCs w:val="16"/>
                <w:b w:val="1"/>
                <w:bCs w:val="1"/>
                <w:color w:val="231F20"/>
              </w:rPr>
              <w:t>888-Proxy-NA (1-888-776-9962) or +1-201-299-6210 worldwide</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EMAIL: help@equiniti.com</w:t>
            </w:r>
          </w:p>
        </w:tc>
        <w:tc>
          <w:tcPr>
            <w:tcW w:w="0" w:type="dxa"/>
            <w:vAlign w:val="bottom"/>
          </w:tcPr>
          <w:p>
            <w:pPr>
              <w:spacing w:after="0"/>
              <w:rPr>
                <w:sz w:val="1"/>
                <w:szCs w:val="1"/>
                <w:color w:val="auto"/>
              </w:rPr>
            </w:pPr>
          </w:p>
        </w:tc>
      </w:tr>
      <w:tr>
        <w:trPr>
          <w:trHeight w:val="222"/>
        </w:trPr>
        <w:tc>
          <w:tcPr>
            <w:tcW w:w="2740" w:type="dxa"/>
            <w:vAlign w:val="bottom"/>
          </w:tcPr>
          <w:p>
            <w:pPr>
              <w:spacing w:after="0"/>
              <w:rPr>
                <w:sz w:val="19"/>
                <w:szCs w:val="19"/>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231F20"/>
              </w:rPr>
              <w:t>WEBSITE: us.astfinancial.com/OnlineProxyVoting/ProxyVoting/RequestMaterials</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 VOTE:</w:t>
            </w:r>
          </w:p>
        </w:tc>
        <w:tc>
          <w:tcPr>
            <w:tcW w:w="860" w:type="dxa"/>
            <w:vAlign w:val="bottom"/>
          </w:tcPr>
          <w:p>
            <w:pPr>
              <w:spacing w:after="0" w:line="20" w:lineRule="exact"/>
              <w:rPr>
                <w:sz w:val="1"/>
                <w:szCs w:val="1"/>
                <w:color w:val="auto"/>
              </w:rPr>
            </w:pPr>
          </w:p>
        </w:tc>
        <w:tc>
          <w:tcPr>
            <w:tcW w:w="190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1400" w:type="dxa"/>
            <w:vAlign w:val="bottom"/>
            <w:shd w:val="clear" w:color="auto" w:fill="231F20"/>
          </w:tcPr>
          <w:p>
            <w:pPr>
              <w:spacing w:after="0" w:line="20" w:lineRule="exact"/>
              <w:rPr>
                <w:sz w:val="1"/>
                <w:szCs w:val="1"/>
                <w:color w:val="auto"/>
              </w:rPr>
            </w:pPr>
          </w:p>
        </w:tc>
        <w:tc>
          <w:tcPr>
            <w:tcW w:w="580" w:type="dxa"/>
            <w:vAlign w:val="bottom"/>
            <w:shd w:val="clear" w:color="auto" w:fill="231F2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740" w:type="dxa"/>
            <w:vAlign w:val="bottom"/>
            <w:vMerge w:val="continue"/>
          </w:tcPr>
          <w:p>
            <w:pPr>
              <w:spacing w:after="0"/>
              <w:rPr>
                <w:sz w:val="24"/>
                <w:szCs w:val="24"/>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 xml:space="preserve">ONLINE: </w:t>
            </w:r>
            <w:r>
              <w:rPr>
                <w:rFonts w:ascii="Times New Roman" w:cs="Times New Roman" w:eastAsia="Times New Roman" w:hAnsi="Times New Roman"/>
                <w:sz w:val="16"/>
                <w:szCs w:val="16"/>
                <w:color w:val="auto"/>
              </w:rPr>
              <w:t>To access your online proxy card, please visit</w:t>
            </w:r>
            <w:r>
              <w:rPr>
                <w:rFonts w:ascii="Times New Roman" w:cs="Times New Roman" w:eastAsia="Times New Roman" w:hAnsi="Times New Roman"/>
                <w:sz w:val="16"/>
                <w:szCs w:val="16"/>
                <w:b w:val="1"/>
                <w:bCs w:val="1"/>
                <w:color w:val="auto"/>
              </w:rPr>
              <w:t xml:space="preserve"> www.voteproxy.com </w:t>
            </w:r>
            <w:r>
              <w:rPr>
                <w:rFonts w:ascii="Times New Roman" w:cs="Times New Roman" w:eastAsia="Times New Roman" w:hAnsi="Times New Roman"/>
                <w:sz w:val="16"/>
                <w:szCs w:val="16"/>
                <w:color w:val="auto"/>
              </w:rPr>
              <w:t>and follow the on-screen instructions or scan the</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740" w:type="dxa"/>
            <w:vAlign w:val="bottom"/>
          </w:tcPr>
          <w:p>
            <w:pPr>
              <w:spacing w:after="0"/>
              <w:rPr>
                <w:sz w:val="20"/>
                <w:szCs w:val="20"/>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QR code with your smartphone. You may enter your voting instructions at www.voteproxy.com up until 11:59 PM Eastern</w:t>
            </w:r>
          </w:p>
        </w:tc>
        <w:tc>
          <w:tcPr>
            <w:tcW w:w="0" w:type="dxa"/>
            <w:vAlign w:val="bottom"/>
          </w:tcPr>
          <w:p>
            <w:pPr>
              <w:spacing w:after="0"/>
              <w:rPr>
                <w:sz w:val="1"/>
                <w:szCs w:val="1"/>
                <w:color w:val="auto"/>
              </w:rPr>
            </w:pPr>
          </w:p>
        </w:tc>
      </w:tr>
      <w:tr>
        <w:trPr>
          <w:trHeight w:val="229"/>
        </w:trPr>
        <w:tc>
          <w:tcPr>
            <w:tcW w:w="2740" w:type="dxa"/>
            <w:vAlign w:val="bottom"/>
          </w:tcPr>
          <w:p>
            <w:pPr>
              <w:spacing w:after="0"/>
              <w:rPr>
                <w:sz w:val="19"/>
                <w:szCs w:val="19"/>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Time the day before the meeting date.</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 xml:space="preserve">VIRTUALLY AT THE MEETING: </w:t>
            </w:r>
            <w:r>
              <w:rPr>
                <w:rFonts w:ascii="Times New Roman" w:cs="Times New Roman" w:eastAsia="Times New Roman" w:hAnsi="Times New Roman"/>
                <w:sz w:val="16"/>
                <w:szCs w:val="16"/>
                <w:color w:val="auto"/>
              </w:rPr>
              <w:t>The company will be hosting the meeting in a virtual format this year. To attend the</w:t>
            </w:r>
          </w:p>
        </w:tc>
        <w:tc>
          <w:tcPr>
            <w:tcW w:w="0" w:type="dxa"/>
            <w:vAlign w:val="bottom"/>
          </w:tcPr>
          <w:p>
            <w:pPr>
              <w:spacing w:after="0"/>
              <w:rPr>
                <w:sz w:val="1"/>
                <w:szCs w:val="1"/>
                <w:color w:val="auto"/>
              </w:rPr>
            </w:pPr>
          </w:p>
        </w:tc>
      </w:tr>
      <w:tr>
        <w:trPr>
          <w:trHeight w:val="229"/>
        </w:trPr>
        <w:tc>
          <w:tcPr>
            <w:tcW w:w="2740" w:type="dxa"/>
            <w:vAlign w:val="bottom"/>
          </w:tcPr>
          <w:p>
            <w:pPr>
              <w:spacing w:after="0"/>
              <w:rPr>
                <w:sz w:val="19"/>
                <w:szCs w:val="19"/>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meeting via live webcast, as well as to vote during the meeting, please visit</w:t>
            </w:r>
          </w:p>
        </w:tc>
        <w:tc>
          <w:tcPr>
            <w:tcW w:w="0" w:type="dxa"/>
            <w:vAlign w:val="bottom"/>
          </w:tcPr>
          <w:p>
            <w:pPr>
              <w:spacing w:after="0"/>
              <w:rPr>
                <w:sz w:val="1"/>
                <w:szCs w:val="1"/>
                <w:color w:val="auto"/>
              </w:rPr>
            </w:pPr>
          </w:p>
        </w:tc>
      </w:tr>
      <w:tr>
        <w:trPr>
          <w:trHeight w:val="195"/>
        </w:trPr>
        <w:tc>
          <w:tcPr>
            <w:tcW w:w="2740" w:type="dxa"/>
            <w:vAlign w:val="bottom"/>
          </w:tcPr>
          <w:p>
            <w:pPr>
              <w:spacing w:after="0"/>
              <w:rPr>
                <w:sz w:val="16"/>
                <w:szCs w:val="16"/>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edge.media-server.com/mmc/p/mddmoibn (password: ) and be sure to have your control number available.</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760" w:type="dxa"/>
            <w:vAlign w:val="bottom"/>
            <w:gridSpan w:val="2"/>
            <w:shd w:val="clear" w:color="auto" w:fill="000000"/>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740" w:type="dxa"/>
            <w:vAlign w:val="bottom"/>
          </w:tcPr>
          <w:p>
            <w:pPr>
              <w:spacing w:after="0"/>
              <w:rPr>
                <w:sz w:val="22"/>
                <w:szCs w:val="22"/>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 xml:space="preserve">MAIL: </w:t>
            </w:r>
            <w:r>
              <w:rPr>
                <w:rFonts w:ascii="Times New Roman" w:cs="Times New Roman" w:eastAsia="Times New Roman" w:hAnsi="Times New Roman"/>
                <w:sz w:val="16"/>
                <w:szCs w:val="16"/>
                <w:color w:val="auto"/>
              </w:rPr>
              <w:t>You may request a card by following the instructions above.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1997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p>
      <w:pPr>
        <w:spacing w:after="0" w:line="247" w:lineRule="exact"/>
        <w:rPr>
          <w:sz w:val="20"/>
          <w:szCs w:val="20"/>
          <w:color w:val="auto"/>
        </w:rPr>
      </w:pPr>
    </w:p>
    <w:p>
      <w:pPr>
        <w:ind w:left="20" w:right="20"/>
        <w:spacing w:after="0" w:line="265" w:lineRule="auto"/>
        <w:rPr>
          <w:sz w:val="20"/>
          <w:szCs w:val="20"/>
          <w:color w:val="auto"/>
        </w:rPr>
      </w:pPr>
      <w:r>
        <w:rPr>
          <w:rFonts w:ascii="Times New Roman" w:cs="Times New Roman" w:eastAsia="Times New Roman" w:hAnsi="Times New Roman"/>
          <w:sz w:val="16"/>
          <w:szCs w:val="16"/>
          <w:b w:val="1"/>
          <w:bCs w:val="1"/>
          <w:color w:val="231F20"/>
        </w:rPr>
        <w:t>The Board of Directors recommends a vote "FOR" the election of all nominees.</w:t>
      </w:r>
    </w:p>
    <w:p>
      <w:pPr>
        <w:spacing w:after="0" w:line="190" w:lineRule="exact"/>
        <w:rPr>
          <w:sz w:val="20"/>
          <w:szCs w:val="20"/>
          <w:color w:val="auto"/>
        </w:rPr>
      </w:pPr>
    </w:p>
    <w:p>
      <w:pPr>
        <w:ind w:left="180" w:hanging="154"/>
        <w:spacing w:after="0"/>
        <w:tabs>
          <w:tab w:leader="none" w:pos="180" w:val="left"/>
        </w:tabs>
        <w:numPr>
          <w:ilvl w:val="0"/>
          <w:numId w:val="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Election of Directors</w:t>
      </w:r>
    </w:p>
    <w:p>
      <w:pPr>
        <w:spacing w:after="0" w:line="219" w:lineRule="exact"/>
        <w:rPr>
          <w:rFonts w:ascii="Times New Roman" w:cs="Times New Roman" w:eastAsia="Times New Roman" w:hAnsi="Times New Roman"/>
          <w:sz w:val="16"/>
          <w:szCs w:val="16"/>
          <w:color w:val="231F20"/>
        </w:rPr>
      </w:pPr>
    </w:p>
    <w:p>
      <w:pPr>
        <w:ind w:left="500"/>
        <w:spacing w:after="0"/>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b w:val="1"/>
          <w:bCs w:val="1"/>
          <w:color w:val="231F20"/>
        </w:rPr>
        <w:t>NOMINEES:</w:t>
      </w:r>
    </w:p>
    <w:p>
      <w:pPr>
        <w:spacing w:after="0" w:line="1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231F20"/>
        </w:rPr>
        <w:t>Jennifer A. Barbetta</w:t>
      </w:r>
    </w:p>
    <w:p>
      <w:pPr>
        <w:ind w:left="1420"/>
        <w:spacing w:after="0" w:line="211" w:lineRule="auto"/>
        <w:rPr>
          <w:sz w:val="20"/>
          <w:szCs w:val="20"/>
          <w:color w:val="auto"/>
        </w:rPr>
      </w:pPr>
      <w:r>
        <w:rPr>
          <w:rFonts w:ascii="Times New Roman" w:cs="Times New Roman" w:eastAsia="Times New Roman" w:hAnsi="Times New Roman"/>
          <w:sz w:val="16"/>
          <w:szCs w:val="16"/>
          <w:color w:val="231F20"/>
        </w:rPr>
        <w:t>Matthew R. Barger</w:t>
      </w:r>
    </w:p>
    <w:p>
      <w:pPr>
        <w:ind w:left="1420"/>
        <w:spacing w:after="0" w:line="194" w:lineRule="auto"/>
        <w:rPr>
          <w:sz w:val="20"/>
          <w:szCs w:val="20"/>
          <w:color w:val="auto"/>
        </w:rPr>
      </w:pPr>
      <w:r>
        <w:rPr>
          <w:rFonts w:ascii="Times New Roman" w:cs="Times New Roman" w:eastAsia="Times New Roman" w:hAnsi="Times New Roman"/>
          <w:sz w:val="16"/>
          <w:szCs w:val="16"/>
          <w:color w:val="231F20"/>
        </w:rPr>
        <w:t>Kane Brenan</w:t>
      </w:r>
    </w:p>
    <w:p>
      <w:pPr>
        <w:ind w:left="1420"/>
        <w:spacing w:after="0" w:line="211" w:lineRule="auto"/>
        <w:rPr>
          <w:sz w:val="20"/>
          <w:szCs w:val="20"/>
          <w:color w:val="auto"/>
        </w:rPr>
      </w:pPr>
      <w:r>
        <w:rPr>
          <w:rFonts w:ascii="Times New Roman" w:cs="Times New Roman" w:eastAsia="Times New Roman" w:hAnsi="Times New Roman"/>
          <w:sz w:val="16"/>
          <w:szCs w:val="16"/>
          <w:color w:val="231F20"/>
        </w:rPr>
        <w:t>Eric R. Colson</w:t>
      </w:r>
    </w:p>
    <w:p>
      <w:pPr>
        <w:ind w:left="1420"/>
        <w:spacing w:after="0" w:line="211" w:lineRule="auto"/>
        <w:rPr>
          <w:sz w:val="20"/>
          <w:szCs w:val="20"/>
          <w:color w:val="auto"/>
        </w:rPr>
      </w:pPr>
      <w:r>
        <w:rPr>
          <w:rFonts w:ascii="Times New Roman" w:cs="Times New Roman" w:eastAsia="Times New Roman" w:hAnsi="Times New Roman"/>
          <w:sz w:val="16"/>
          <w:szCs w:val="16"/>
          <w:color w:val="231F20"/>
        </w:rPr>
        <w:t>Peter B. Crawford</w:t>
      </w:r>
    </w:p>
    <w:p>
      <w:pPr>
        <w:ind w:left="1420"/>
        <w:spacing w:after="0" w:line="194" w:lineRule="auto"/>
        <w:rPr>
          <w:sz w:val="20"/>
          <w:szCs w:val="20"/>
          <w:color w:val="auto"/>
        </w:rPr>
      </w:pPr>
      <w:r>
        <w:rPr>
          <w:rFonts w:ascii="Times New Roman" w:cs="Times New Roman" w:eastAsia="Times New Roman" w:hAnsi="Times New Roman"/>
          <w:sz w:val="16"/>
          <w:szCs w:val="16"/>
          <w:color w:val="231F20"/>
        </w:rPr>
        <w:t>Stephanie G. DiMarco</w:t>
      </w:r>
    </w:p>
    <w:p>
      <w:pPr>
        <w:ind w:left="1420"/>
        <w:spacing w:after="0" w:line="211" w:lineRule="auto"/>
        <w:rPr>
          <w:sz w:val="20"/>
          <w:szCs w:val="20"/>
          <w:color w:val="auto"/>
        </w:rPr>
      </w:pPr>
      <w:r>
        <w:rPr>
          <w:rFonts w:ascii="Times New Roman" w:cs="Times New Roman" w:eastAsia="Times New Roman" w:hAnsi="Times New Roman"/>
          <w:sz w:val="16"/>
          <w:szCs w:val="16"/>
          <w:color w:val="231F20"/>
        </w:rPr>
        <w:t>Jason A. Gottlieb</w:t>
      </w:r>
    </w:p>
    <w:p>
      <w:pPr>
        <w:ind w:left="1420"/>
        <w:spacing w:after="0" w:line="212" w:lineRule="auto"/>
        <w:rPr>
          <w:sz w:val="20"/>
          <w:szCs w:val="20"/>
          <w:color w:val="auto"/>
        </w:rPr>
      </w:pPr>
      <w:r>
        <w:rPr>
          <w:rFonts w:ascii="Times New Roman" w:cs="Times New Roman" w:eastAsia="Times New Roman" w:hAnsi="Times New Roman"/>
          <w:sz w:val="16"/>
          <w:szCs w:val="16"/>
          <w:color w:val="231F20"/>
        </w:rPr>
        <w:t>Jeffrey A. Joerres</w:t>
      </w:r>
    </w:p>
    <w:p>
      <w:pPr>
        <w:ind w:left="1420"/>
        <w:spacing w:after="0"/>
        <w:rPr>
          <w:sz w:val="20"/>
          <w:szCs w:val="20"/>
          <w:color w:val="auto"/>
        </w:rPr>
      </w:pPr>
      <w:r>
        <w:rPr>
          <w:rFonts w:ascii="Times New Roman" w:cs="Times New Roman" w:eastAsia="Times New Roman" w:hAnsi="Times New Roman"/>
          <w:sz w:val="16"/>
          <w:szCs w:val="16"/>
          <w:color w:val="231F20"/>
        </w:rPr>
        <w:t>Saloni S. Multani</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The Board of Directors recommends a vote “FOR" proposals 2 and 3.</w:t>
      </w:r>
    </w:p>
    <w:p>
      <w:pPr>
        <w:spacing w:after="0" w:line="237" w:lineRule="exact"/>
        <w:rPr>
          <w:sz w:val="20"/>
          <w:szCs w:val="20"/>
          <w:color w:val="auto"/>
        </w:rPr>
      </w:pPr>
    </w:p>
    <w:p>
      <w:pPr>
        <w:ind w:left="160" w:hanging="160"/>
        <w:spacing w:after="0"/>
        <w:tabs>
          <w:tab w:leader="none" w:pos="160"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Advisory Vote to Approve Named Executive Officer Compensation.</w:t>
      </w:r>
    </w:p>
    <w:p>
      <w:pPr>
        <w:spacing w:after="0" w:line="234" w:lineRule="exact"/>
        <w:rPr>
          <w:rFonts w:ascii="Times New Roman" w:cs="Times New Roman" w:eastAsia="Times New Roman" w:hAnsi="Times New Roman"/>
          <w:sz w:val="16"/>
          <w:szCs w:val="16"/>
          <w:color w:val="231F20"/>
        </w:rPr>
      </w:pPr>
    </w:p>
    <w:p>
      <w:pPr>
        <w:ind w:right="40"/>
        <w:spacing w:after="0" w:line="280" w:lineRule="auto"/>
        <w:tabs>
          <w:tab w:leader="none" w:pos="162"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Ratification of the Appointment of PricewaterhouseCoopers LLP as our Independent Registered Public Accounting Firm for the Fiscal Year Ending December 31, 2026.</w:t>
      </w:r>
    </w:p>
    <w:p>
      <w:pPr>
        <w:spacing w:after="0" w:line="200" w:lineRule="exact"/>
        <w:rPr>
          <w:sz w:val="20"/>
          <w:szCs w:val="20"/>
          <w:color w:val="auto"/>
        </w:rPr>
      </w:pPr>
    </w:p>
    <w:p>
      <w:pPr>
        <w:spacing w:after="0" w:line="221"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6"/>
          <w:szCs w:val="16"/>
          <w:color w:val="231F20"/>
        </w:rPr>
        <w:t>In their discretion, the proxies are authorized to vote upon such other business as may properly come before the Annual Meeting.</w:t>
      </w:r>
    </w:p>
    <w:p>
      <w:pPr>
        <w:sectPr>
          <w:pgSz w:w="11900" w:h="16838" w:orient="portrait"/>
          <w:cols w:equalWidth="0" w:num="2">
            <w:col w:w="4800" w:space="720"/>
            <w:col w:w="5700"/>
          </w:cols>
          <w:pgMar w:left="320" w:top="513" w:right="359" w:bottom="1440" w:gutter="0" w:footer="0" w:header="0"/>
          <w:type w:val="continuous"/>
        </w:sectPr>
      </w:pPr>
    </w:p>
    <w:bookmarkStart w:id="2" w:name="page3"/>
    <w:bookmarkEnd w:id="2"/>
    <w:p>
      <w:pPr>
        <w:spacing w:after="0" w:line="24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534035</wp:posOffset>
            </wp:positionH>
            <wp:positionV relativeFrom="page">
              <wp:posOffset>346075</wp:posOffset>
            </wp:positionV>
            <wp:extent cx="6480810" cy="8383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480810" cy="8383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4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534035</wp:posOffset>
            </wp:positionH>
            <wp:positionV relativeFrom="page">
              <wp:posOffset>346075</wp:posOffset>
            </wp:positionV>
            <wp:extent cx="6480810" cy="8383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480810" cy="83839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2026-04-17T15:49:13Z</dcterms:created>
  <dcterms:modified xsi:type="dcterms:W3CDTF">2026-04-17T15:49:13Z</dcterms:modified>
</cp:coreProperties>
</file>