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4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180" w:after="18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28, 2026</w:t>
      </w:r>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Artisan Partners Asset Management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7573" w:type="dxa"/>
        <w:jc w:val="center"/>
        <w:tblInd w:w="0" w:type="dxa"/>
        <w:tblLayout w:type="fixed"/>
        <w:tblCellMar>
          <w:top w:w="28" w:type="dxa"/>
          <w:left w:w="28" w:type="dxa"/>
          <w:bottom w:w="28" w:type="dxa"/>
          <w:right w:w="28" w:type="dxa"/>
        </w:tblCellMar>
      </w:tblPr>
      <w:tblGrid>
        <w:gridCol w:w="844"/>
        <w:gridCol w:w="745"/>
        <w:gridCol w:w="750"/>
        <w:gridCol w:w="1260"/>
        <w:gridCol w:w="1260"/>
        <w:gridCol w:w="1275"/>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001-35826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45-0969585</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 or organization)</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875 E. Wisconsin Avenue, Suite 800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Milwaukee, WI 53202</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and zip code)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5" w:after="283"/>
        <w:jc w:val="left"/>
        <w:rPr/>
      </w:pPr>
      <w:r>
        <w:rPr/>
      </w:r>
    </w:p>
    <w:p>
      <w:pPr>
        <w:pStyle w:val="TextBody"/>
        <w:bidi w:val="0"/>
        <w:spacing w:lineRule="auto" w:line="259" w:before="0" w:after="0"/>
        <w:jc w:val="center"/>
        <w:rPr>
          <w:rFonts w:ascii="Times New Roman;serif" w:hAnsi="Times New Roman;serif"/>
          <w:b/>
          <w:color w:val="000000"/>
          <w:sz w:val="18"/>
        </w:rPr>
      </w:pPr>
      <w:r>
        <w:rPr>
          <w:rFonts w:ascii="Times New Roman;serif" w:hAnsi="Times New Roman;serif"/>
          <w:b/>
          <w:color w:val="000000"/>
          <w:sz w:val="18"/>
        </w:rPr>
        <w:t>(414) 390-6100</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73" w:type="dxa"/>
        <w:jc w:val="left"/>
        <w:tblInd w:w="0" w:type="dxa"/>
        <w:tblLayout w:type="fixed"/>
        <w:tblCellMar>
          <w:top w:w="28" w:type="dxa"/>
          <w:left w:w="28" w:type="dxa"/>
          <w:bottom w:w="28" w:type="dxa"/>
          <w:right w:w="28" w:type="dxa"/>
        </w:tblCellMar>
      </w:tblPr>
      <w:tblGrid>
        <w:gridCol w:w="1314"/>
        <w:gridCol w:w="1158"/>
        <w:gridCol w:w="1173"/>
        <w:gridCol w:w="419"/>
        <w:gridCol w:w="419"/>
        <w:gridCol w:w="421"/>
        <w:gridCol w:w="956"/>
        <w:gridCol w:w="956"/>
        <w:gridCol w:w="1357"/>
      </w:tblGrid>
      <w:tr>
        <w:trPr/>
        <w:tc>
          <w:tcPr>
            <w:tcW w:w="131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2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64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12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APAM</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2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28, 2026, Artisan Partners Asset Management Inc. (the “Company”) issued a press release announcing the availability of certain consolidated financial and operating results for the three and six months ended June 30, 2026. Copies of the press release and the full earnings release are attached hereto as Exhibit 99.1 and 99.2, respectively, and are incorporated herein by reference.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2.02, including the exhibits incorporated herein by reference, shall not be deemed “filed” for purposes of Section 18 of the Securities Exchange Act of 1934, as amended, or otherwise subject to the liabilities of that section, nor shall it be deemed incorporated by reference in any filing of the Company under the Securities Act of 1933, as amended, or the Securities Exchange Act of 1934, as amended, whether made before or after the date hereof, except as expressly set forth by specific reference in such a filing.</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47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46"/>
        <w:gridCol w:w="1946"/>
        <w:gridCol w:w="276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rtisan2q26pressrelease.htm">
              <w:r>
                <w:rPr>
                  <w:rStyle w:val="InternetLink"/>
                  <w:rFonts w:ascii="Times New Roman;serif" w:hAnsi="Times New Roman;serif"/>
                  <w:b w:val="false"/>
                  <w:color w:val="0000FF"/>
                  <w:sz w:val="20"/>
                  <w:u w:val="single"/>
                </w:rPr>
                <w:t>Press Release of Artisan Partners Asset Management Inc. dated July 28,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tisan2q26earningsrelease.htm">
              <w:r>
                <w:rPr>
                  <w:rStyle w:val="InternetLink"/>
                  <w:rFonts w:ascii="Times New Roman;serif" w:hAnsi="Times New Roman;serif"/>
                  <w:b w:val="false"/>
                  <w:color w:val="0000FF"/>
                  <w:sz w:val="20"/>
                  <w:u w:val="single"/>
                </w:rPr>
                <w:t>Earnings Release of Artisan Partners Asset Management Inc. dated July 28,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Artisan Partners Asset Management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bl>
      <w:tblPr>
        <w:tblW w:w="6252" w:type="dxa"/>
        <w:jc w:val="center"/>
        <w:tblInd w:w="0" w:type="dxa"/>
        <w:tblLayout w:type="fixed"/>
        <w:tblCellMar>
          <w:top w:w="28" w:type="dxa"/>
          <w:left w:w="28" w:type="dxa"/>
          <w:bottom w:w="28" w:type="dxa"/>
          <w:right w:w="28" w:type="dxa"/>
        </w:tblCellMar>
      </w:tblPr>
      <w:tblGrid>
        <w:gridCol w:w="232"/>
        <w:gridCol w:w="205"/>
        <w:gridCol w:w="208"/>
        <w:gridCol w:w="109"/>
        <w:gridCol w:w="109"/>
        <w:gridCol w:w="109"/>
        <w:gridCol w:w="1546"/>
        <w:gridCol w:w="1546"/>
        <w:gridCol w:w="218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6400800" cy="800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400800" cy="80010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Myriad Pro;sans-serif" w:hAnsi="Myriad Pro;sans-serif"/>
          <w:b w:val="false"/>
          <w:color w:val="000000"/>
          <w:sz w:val="28"/>
        </w:rPr>
      </w:pPr>
      <w:r>
        <w:rPr>
          <w:rFonts w:ascii="Myriad Pro;sans-serif" w:hAnsi="Myriad Pro;sans-serif"/>
          <w:b w:val="false"/>
          <w:color w:val="000000"/>
          <w:sz w:val="28"/>
        </w:rPr>
        <w:t>Artisan Partners Asset Management Inc. Reports 2Q26 Results and Quarterly Dividend</w:t>
      </w:r>
    </w:p>
    <w:p>
      <w:pPr>
        <w:pStyle w:val="TextBody"/>
        <w:bidi w:val="0"/>
        <w:spacing w:lineRule="auto" w:line="288" w:before="120" w:after="120"/>
        <w:jc w:val="left"/>
        <w:rPr/>
      </w:pPr>
      <w:r>
        <w:rPr>
          <w:rFonts w:ascii="Myriad Pro Light;sans-serif" w:hAnsi="Myriad Pro Light;sans-serif"/>
          <w:b w:val="false"/>
          <w:color w:val="000000"/>
          <w:sz w:val="20"/>
        </w:rPr>
        <w:t>Milwaukee, WI - July 28, 2026 - Artisan Partners Asset Management Inc. (NYSE: APAM) (the “Company” or “Artisan Partners”) today reported its results for the quarter ended June 30, 2026, and declared a quarterly dividend. The full June 2026 quarter earnings release and investor presentation can be viewed at </w:t>
      </w:r>
      <w:r>
        <w:rPr>
          <w:rFonts w:ascii="Myriad Pro Light;sans-serif" w:hAnsi="Myriad Pro Light;sans-serif"/>
          <w:b w:val="false"/>
          <w:color w:val="000000"/>
          <w:sz w:val="20"/>
          <w:u w:val="single"/>
        </w:rPr>
        <w:t>www.apam.com</w:t>
      </w:r>
      <w:r>
        <w:rPr>
          <w:rFonts w:ascii="Myriad Pro Light;sans-serif" w:hAnsi="Myriad Pro Light;sans-serif"/>
          <w:b w:val="false"/>
          <w:color w:val="000000"/>
          <w:sz w:val="20"/>
        </w:rPr>
        <w:t xml:space="preserve">. </w:t>
      </w:r>
    </w:p>
    <w:p>
      <w:pPr>
        <w:pStyle w:val="TextBody"/>
        <w:bidi w:val="0"/>
        <w:spacing w:lineRule="auto" w:line="288" w:before="120" w:after="120"/>
        <w:jc w:val="left"/>
        <w:rPr>
          <w:rFonts w:ascii="Myriad Pro;sans-serif" w:hAnsi="Myriad Pro;sans-serif"/>
          <w:b w:val="false"/>
          <w:color w:val="000000"/>
          <w:sz w:val="20"/>
        </w:rPr>
      </w:pPr>
      <w:r>
        <w:rPr>
          <w:rFonts w:ascii="Myriad Pro;sans-serif" w:hAnsi="Myriad Pro;sans-serif"/>
          <w:b w:val="false"/>
          <w:color w:val="000000"/>
          <w:sz w:val="20"/>
        </w:rPr>
        <w:t xml:space="preserve">Conference Call </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The Company will host a conference call on July 29, 2026, at 11:00 a.m. (Eastern Time) to discuss its results for the three and six months ended June 30, 2026. Hosting the call will be Jason Gottlieb, Chief Executive Officer and President, and C.J. Daley, Chief Financial Officer. Supplemental materials that will be reviewed during the call are available on the Company’s website at www.apam.com. The call will be webcast and can be accessed via the Company’s website. Listeners may also access the call by dialing 877.328.5507 or 412.317.5423 for international callers; the conference ID is 10209594. A replay of the call will be available until August 5, 2026, at 9:00 a.m. (Eastern Time), by dialing 855.669.9658 or 412.317.0088 for international callers; the replay conference ID is 2052531. An audio recording will also be available on the Company’s website.</w:t>
      </w:r>
    </w:p>
    <w:p>
      <w:pPr>
        <w:pStyle w:val="TextBody"/>
        <w:bidi w:val="0"/>
        <w:spacing w:lineRule="auto" w:line="288" w:before="120" w:after="120"/>
        <w:jc w:val="left"/>
        <w:rPr>
          <w:rFonts w:ascii="Myriad Pro;sans-serif" w:hAnsi="Myriad Pro;sans-serif"/>
          <w:b w:val="false"/>
          <w:color w:val="000000"/>
          <w:sz w:val="20"/>
        </w:rPr>
      </w:pPr>
      <w:r>
        <w:rPr>
          <w:rFonts w:ascii="Myriad Pro;sans-serif" w:hAnsi="Myriad Pro;sans-serif"/>
          <w:b w:val="false"/>
          <w:color w:val="000000"/>
          <w:sz w:val="20"/>
        </w:rPr>
        <w:t xml:space="preserve">About Artisan Partners </w:t>
      </w:r>
    </w:p>
    <w:p>
      <w:pPr>
        <w:pStyle w:val="TextBody"/>
        <w:bidi w:val="0"/>
        <w:spacing w:lineRule="auto" w:line="288" w:before="120" w:after="120"/>
        <w:jc w:val="left"/>
        <w:rPr/>
      </w:pPr>
      <w:r>
        <w:rPr>
          <w:rFonts w:ascii="Myriad Pro Light;sans-serif" w:hAnsi="Myriad Pro Light;sans-serif"/>
          <w:b w:val="false"/>
          <w:color w:val="000000"/>
          <w:sz w:val="20"/>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Source: Artisan Partners Asset Management Inc. </w:t>
      </w:r>
    </w:p>
    <w:p>
      <w:pPr>
        <w:pStyle w:val="TextBody"/>
        <w:bidi w:val="0"/>
        <w:spacing w:before="0" w:after="0"/>
        <w:jc w:val="both"/>
        <w:rPr/>
      </w:pPr>
      <w:r>
        <w:rPr/>
      </w:r>
    </w:p>
    <w:p>
      <w:pPr>
        <w:pStyle w:val="TextBody"/>
        <w:bidi w:val="0"/>
        <w:spacing w:lineRule="auto" w:line="288" w:before="100" w:after="10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Investor Relations Inquiries </w:t>
      </w:r>
    </w:p>
    <w:p>
      <w:pPr>
        <w:pStyle w:val="TextBody"/>
        <w:bidi w:val="0"/>
        <w:spacing w:lineRule="auto" w:line="288" w:before="0" w:after="0"/>
        <w:jc w:val="both"/>
        <w:rPr/>
      </w:pPr>
      <w:r>
        <w:rPr>
          <w:rFonts w:ascii="Myriad Pro Light;sans-serif" w:hAnsi="Myriad Pro Light;sans-serif"/>
          <w:b w:val="false"/>
          <w:color w:val="000000"/>
          <w:sz w:val="20"/>
        </w:rPr>
        <w:t>866.632.1770</w:t>
      </w:r>
      <w:r>
        <w:rPr>
          <w:color w:val="000000"/>
        </w:rPr>
        <w:t xml:space="preserve"> </w:t>
      </w:r>
    </w:p>
    <w:p>
      <w:pPr>
        <w:pStyle w:val="TextBody"/>
        <w:bidi w:val="0"/>
        <w:spacing w:lineRule="auto" w:line="288" w:before="0" w:after="0"/>
        <w:jc w:val="both"/>
        <w:rPr/>
      </w:pPr>
      <w:r>
        <w:rPr>
          <w:rFonts w:ascii="Myriad Pro Light;sans-serif" w:hAnsi="Myriad Pro Light;sans-serif"/>
          <w:b w:val="false"/>
          <w:color w:val="000000"/>
          <w:sz w:val="20"/>
        </w:rPr>
        <w:t>ir@artisanpartners.com</w:t>
      </w:r>
      <w:r>
        <w:rPr>
          <w:color w:val="000000"/>
        </w:rPr>
        <w:t xml:space="preserv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6057900" cy="762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057900" cy="762000"/>
                    </a:xfrm>
                    <a:prstGeom prst="rect">
                      <a:avLst/>
                    </a:prstGeom>
                  </pic:spPr>
                </pic:pic>
              </a:graphicData>
            </a:graphic>
          </wp:inline>
        </w:drawing>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Myriad Pro;sans-serif" w:hAnsi="Myriad Pro;sans-serif"/>
          <w:b w:val="false"/>
          <w:color w:val="000000"/>
          <w:sz w:val="28"/>
        </w:rPr>
      </w:pPr>
      <w:r>
        <w:rPr>
          <w:rFonts w:ascii="Myriad Pro;sans-serif" w:hAnsi="Myriad Pro;sans-serif"/>
          <w:b w:val="false"/>
          <w:color w:val="000000"/>
          <w:sz w:val="28"/>
        </w:rPr>
        <w:t>Artisan Partners Asset Management Inc. Reports 2Q26 Results and Quarterly Dividend</w:t>
      </w:r>
    </w:p>
    <w:p>
      <w:pPr>
        <w:pStyle w:val="TextBody"/>
        <w:bidi w:val="0"/>
        <w:spacing w:lineRule="auto" w:line="28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Milwaukee, WI - July 28, 2026 - Artisan Partners Asset Management Inc. (NYSE: APAM) (the “Company” or “Artisan Partners”) today reported its results for the quarter ended June 30, 2026, and declared a quarterly dividend.</w:t>
      </w:r>
    </w:p>
    <w:p>
      <w:pPr>
        <w:pStyle w:val="TextBody"/>
        <w:bidi w:val="0"/>
        <w:spacing w:lineRule="auto" w:line="276"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Chief Executive Officer Jason Gottlieb said: "Our long-term investment performance remains strong, with over 75% of our assets under management outperforming benchmarks across the three-, five-, and ten-year, and since-inception periods. Our strategies participated in the strong market environment during the quarter while remaining resilient as volatility returned in June, reflecting the quality and discipline of our investment teams.</w:t>
      </w:r>
    </w:p>
    <w:p>
      <w:pPr>
        <w:pStyle w:val="TextBody"/>
        <w:bidi w:val="0"/>
        <w:spacing w:before="0" w:after="0"/>
        <w:jc w:val="left"/>
        <w:rPr/>
      </w:pPr>
      <w:r>
        <w:rPr/>
      </w:r>
    </w:p>
    <w:p>
      <w:pPr>
        <w:pStyle w:val="TextBody"/>
        <w:bidi w:val="0"/>
        <w:spacing w:lineRule="auto" w:line="268"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"Our credit-oriented teams continued to deliver exceptional investment performance and business development results. During the quarter, our credit strategies raised approximately $700 million of net inflows, representing a 15% annualized organic growth rate and their 16th consecutive quarter of positive organic growth. Our alternative strategies added approximately $300 million of net inflows, representing a 25% annualized organic growth rate and positive organic growth in five of the last six quarters. EMsights Capital Group continues to build momentum, surpassing $5 billion in assets under management. While pressures on equity flows persist, we funded a $1 billion institutional mandate for our Global Discovery strategy and raised more than $200 million of net inflows into our Sustainable Emerging Markets strategy. </w:t>
      </w:r>
    </w:p>
    <w:p>
      <w:pPr>
        <w:pStyle w:val="TextBody"/>
        <w:bidi w:val="0"/>
        <w:spacing w:before="0" w:after="0"/>
        <w:jc w:val="left"/>
        <w:rPr/>
      </w:pPr>
      <w:r>
        <w:rPr/>
      </w:r>
    </w:p>
    <w:p>
      <w:pPr>
        <w:pStyle w:val="TextBody"/>
        <w:bidi w:val="0"/>
        <w:spacing w:lineRule="auto" w:line="276"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"Firmwide net outflows totaled $10.5 billion during the quarter, including $6.4 billion of net outflows from the U.S. Value team’s strategies, largely concentrated in the loss of a single sub-advisory mandate. After the significant decline in assets, we determined to wind down the U.S. Value business and return capital to investors in the U.S. Mid-Cap Value, Value Equity, and Value Income strategies, a process that we expect will be largely complete by the end of the third quarter. While the wind-down was a difficult decision, the U.S. Value team had a tremendous run over nearly 30 years at Artisan Partners, generating and compounding wealth for clients and contributing to the success and growth of the firm.</w:t>
      </w:r>
    </w:p>
    <w:p>
      <w:pPr>
        <w:pStyle w:val="TextBody"/>
        <w:bidi w:val="0"/>
        <w:spacing w:before="0" w:after="0"/>
        <w:jc w:val="left"/>
        <w:rPr/>
      </w:pPr>
      <w:r>
        <w:rPr/>
      </w:r>
    </w:p>
    <w:p>
      <w:pPr>
        <w:pStyle w:val="TextBody"/>
        <w:bidi w:val="0"/>
        <w:spacing w:lineRule="auto" w:line="276"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"Assets under management ended the quarter at $183.4 billion, a record quarter-end level. Average assets under management increased 9% compared to the second quarter of 2025, while revenues increased 9% to $307.9 million. On a GAAP basis, operating income increased 6% to $84.6 million, operating margin was 27.5% and earnings per share were $1.11. On an adjusted basis, operating income increased 13% to $101.4 million, operating margin expanded 120 basis points to 32.9% and earnings per share increased 13% to $0.94. These results demonstrate the earnings power of our diversified platform and our ability to generate attractive financial performance despite flow headwinds in select equity franchises.</w:t>
      </w:r>
    </w:p>
    <w:p>
      <w:pPr>
        <w:pStyle w:val="TextBody"/>
        <w:bidi w:val="0"/>
        <w:spacing w:before="0" w:after="0"/>
        <w:jc w:val="left"/>
        <w:rPr/>
      </w:pPr>
      <w:r>
        <w:rPr/>
      </w:r>
    </w:p>
    <w:p>
      <w:pPr>
        <w:pStyle w:val="TextBody"/>
        <w:bidi w:val="0"/>
        <w:spacing w:lineRule="auto" w:line="276"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"Consistent with our goal to be one of the world's preeminent multi-asset class investment platforms, we remain focused on expanding our capabilities in areas where we see durable client demand and can maximize alpha, including credit and alternatives, while continuing to invest to support our high-performing investment teams. Our strong balance sheet, consistent cash generation and disciplined capital allocation position us well to invest for long-term growth while continuing to return meaningful capital to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left"/>
        <w:rPr>
          <w:rFonts w:ascii="Myriad Pro;sans-serif" w:hAnsi="Myriad Pro;sans-serif"/>
          <w:b w:val="false"/>
          <w:color w:val="000000"/>
          <w:sz w:val="20"/>
        </w:rPr>
      </w:pPr>
      <w:r>
        <w:rPr>
          <w:rFonts w:ascii="Myriad Pro;sans-serif" w:hAnsi="Myriad Pro;sans-serif"/>
          <w:b w:val="false"/>
          <w:color w:val="000000"/>
          <w:sz w:val="20"/>
        </w:rPr>
        <w:t>AUM and Flows</w:t>
      </w:r>
    </w:p>
    <w:tbl>
      <w:tblPr>
        <w:tblW w:w="10205" w:type="dxa"/>
        <w:jc w:val="left"/>
        <w:tblInd w:w="0" w:type="dxa"/>
        <w:tblLayout w:type="fixed"/>
        <w:tblCellMar>
          <w:top w:w="28" w:type="dxa"/>
          <w:left w:w="28" w:type="dxa"/>
          <w:bottom w:w="28" w:type="dxa"/>
          <w:right w:w="28" w:type="dxa"/>
        </w:tblCellMar>
      </w:tblPr>
      <w:tblGrid>
        <w:gridCol w:w="886"/>
        <w:gridCol w:w="778"/>
        <w:gridCol w:w="781"/>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6"/>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For the Six Months Ended</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(unaudited, in millions)</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Beginning assets under management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172,981 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162,390 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161,208 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Gross client cash inflows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13,247 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Gross client cash outflows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(19,296)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(8,096)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(31,601)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(17,950)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Net client cash flows</w:t>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(10,499)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(1,863)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(13,616)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(4,703)</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8"/>
              </w:rPr>
              <w:t>Acquisitions</w:t>
            </w:r>
            <w:r>
              <w:rPr>
                <w:rFonts w:ascii="Myriad Pro Light;sans-serif" w:hAnsi="Myriad Pro Light;sans-serif"/>
                <w:b w:val="false"/>
                <w:color w:val="000000"/>
                <w:sz w:val="12"/>
              </w:rPr>
              <w:t>1</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8"/>
              </w:rPr>
              <w:t>Realizations</w:t>
            </w:r>
            <w:r>
              <w:rPr>
                <w:rFonts w:ascii="Myriad Pro Light;sans-serif" w:hAnsi="Myriad Pro Light;sans-serif"/>
                <w:b w:val="false"/>
                <w:color w:val="000000"/>
                <w:sz w:val="12"/>
              </w:rPr>
              <w:t>2</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8"/>
              </w:rPr>
              <w:t>Artisan Funds' distributions not reinvested</w:t>
            </w:r>
            <w:r>
              <w:rPr>
                <w:rFonts w:ascii="Myriad Pro Light;sans-serif" w:hAnsi="Myriad Pro Light;sans-serif"/>
                <w:b w:val="false"/>
                <w:color w:val="000000"/>
                <w:sz w:val="12"/>
              </w:rPr>
              <w:t>3</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Investment returns and other</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(4,576)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19,350 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Ending assets under management</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183,389 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172,981 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175,545 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183,389 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175,545 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Average assets under management</w:t>
            </w:r>
          </w:p>
        </w:tc>
        <w:tc>
          <w:tcPr>
            <w:tcW w:w="2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181,874 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182,403 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166,774 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182,187 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166,782 </w:t>
            </w:r>
          </w:p>
        </w:tc>
        <w:tc>
          <w:tcPr>
            <w:tcW w:w="15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Myriad Pro;sans-serif" w:hAnsi="Myriad Pro;sans-serif"/>
          <w:b w:val="false"/>
          <w:color w:val="000000"/>
          <w:sz w:val="20"/>
        </w:rPr>
      </w:pPr>
      <w:r>
        <w:rPr>
          <w:rFonts w:ascii="Myriad Pro;sans-serif" w:hAnsi="Myriad Pro;sans-serif"/>
          <w:b w:val="false"/>
          <w:color w:val="000000"/>
          <w:sz w:val="20"/>
        </w:rPr>
        <w:t>Financial Results</w:t>
      </w:r>
    </w:p>
    <w:p>
      <w:pPr>
        <w:pStyle w:val="TextBody"/>
        <w:bidi w:val="0"/>
        <w:spacing w:lineRule="auto" w:line="331" w:before="120" w:after="120"/>
        <w:jc w:val="left"/>
        <w:rPr/>
      </w:pPr>
      <w:r>
        <w:rPr>
          <w:rFonts w:ascii="Myriad Pro Light;sans-serif" w:hAnsi="Myriad Pro Light;sans-serif"/>
          <w:b w:val="false"/>
          <w:color w:val="000000"/>
          <w:sz w:val="20"/>
        </w:rPr>
        <w:t>The table below presents AUM and a comparison of certain GAAP and non-GAAP (</w:t>
      </w:r>
      <w:r>
        <w:rPr>
          <w:color w:val="000000"/>
        </w:rPr>
        <w:t>“</w:t>
      </w:r>
      <w:r>
        <w:rPr>
          <w:rFonts w:ascii="Myriad Pro Light;sans-serif" w:hAnsi="Myriad Pro Light;sans-serif"/>
          <w:b w:val="false"/>
          <w:color w:val="000000"/>
          <w:sz w:val="20"/>
        </w:rPr>
        <w:t>adjusted</w:t>
      </w:r>
      <w:r>
        <w:rPr>
          <w:color w:val="000000"/>
        </w:rPr>
        <w:t>”</w:t>
      </w:r>
      <w:r>
        <w:rPr>
          <w:rFonts w:ascii="Myriad Pro Light;sans-serif" w:hAnsi="Myriad Pro Light;sans-serif"/>
          <w:b w:val="false"/>
          <w:color w:val="000000"/>
          <w:sz w:val="20"/>
        </w:rPr>
        <w:t>) financial measures.</w:t>
      </w:r>
    </w:p>
    <w:tbl>
      <w:tblPr>
        <w:tblW w:w="10205" w:type="dxa"/>
        <w:jc w:val="left"/>
        <w:tblInd w:w="0" w:type="dxa"/>
        <w:tblLayout w:type="fixed"/>
        <w:tblCellMar>
          <w:top w:w="28" w:type="dxa"/>
          <w:left w:w="28" w:type="dxa"/>
          <w:bottom w:w="28" w:type="dxa"/>
          <w:right w:w="28" w:type="dxa"/>
        </w:tblCellMar>
      </w:tblPr>
      <w:tblGrid>
        <w:gridCol w:w="1064"/>
        <w:gridCol w:w="875"/>
        <w:gridCol w:w="897"/>
        <w:gridCol w:w="226"/>
        <w:gridCol w:w="706"/>
        <w:gridCol w:w="271"/>
        <w:gridCol w:w="109"/>
        <w:gridCol w:w="109"/>
        <w:gridCol w:w="109"/>
        <w:gridCol w:w="226"/>
        <w:gridCol w:w="706"/>
        <w:gridCol w:w="271"/>
        <w:gridCol w:w="109"/>
        <w:gridCol w:w="109"/>
        <w:gridCol w:w="109"/>
        <w:gridCol w:w="226"/>
        <w:gridCol w:w="706"/>
        <w:gridCol w:w="271"/>
        <w:gridCol w:w="109"/>
        <w:gridCol w:w="109"/>
        <w:gridCol w:w="109"/>
        <w:gridCol w:w="226"/>
        <w:gridCol w:w="706"/>
        <w:gridCol w:w="271"/>
        <w:gridCol w:w="109"/>
        <w:gridCol w:w="109"/>
        <w:gridCol w:w="109"/>
        <w:gridCol w:w="226"/>
        <w:gridCol w:w="706"/>
        <w:gridCol w:w="317"/>
      </w:tblGrid>
      <w:tr>
        <w:trPr/>
        <w:tc>
          <w:tcPr>
            <w:tcW w:w="106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For the Six Months Ended</w:t>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(unaudited, in millions except per share amounts or as otherwise noted)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Assets Under Management (amounts in billions)</w:t>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Ending</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175.5 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Average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181.9 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Consolidated Financial Results (GAAP)</w:t>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Revenues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307.9 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559.9 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84.6 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Operating margin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29.7 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Net income attributable to Artisan Partners Asset Management Inc.</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138.9 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128.7 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Basic earnings per share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Diluted earnings per share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000000"/>
                <w:sz w:val="18"/>
              </w:rPr>
              <w:t>Adjusted</w:t>
            </w:r>
            <w:r>
              <w:rPr>
                <w:rFonts w:ascii="Myriad Pro;sans-serif" w:hAnsi="Myriad Pro;sans-serif"/>
                <w:b w:val="false"/>
                <w:color w:val="000000"/>
                <w:sz w:val="12"/>
              </w:rPr>
              <w:t>4</w:t>
            </w:r>
            <w:r>
              <w:rPr>
                <w:color w:val="000000"/>
              </w:rPr>
              <w:t xml:space="preserve"> </w:t>
            </w:r>
            <w:r>
              <w:rPr>
                <w:rFonts w:ascii="Myriad Pro;sans-serif" w:hAnsi="Myriad Pro;sans-serif"/>
                <w:b w:val="false"/>
                <w:color w:val="000000"/>
                <w:sz w:val="18"/>
              </w:rPr>
              <w:t>Financial Results</w:t>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Adjusted operating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101.4 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89.6 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195.6 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178.6 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Adjusted operating margin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31.9 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8"/>
              </w:rPr>
              <w:t>Adjusted EBITDA</w:t>
            </w:r>
            <w:r>
              <w:rPr>
                <w:rFonts w:ascii="Myriad Pro Light;sans-serif" w:hAnsi="Myriad Pro Light;sans-serif"/>
                <w:b w:val="false"/>
                <w:color w:val="000000"/>
                <w:sz w:val="12"/>
              </w:rPr>
              <w:t>5</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98.4 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187.8 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Adjusted net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76.5 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Adjusted net income per adjusted share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70050"/>
                <wp:effectExtent l="0" t="0" r="0" b="0"/>
                <wp:wrapNone/>
                <wp:docPr id="8" name="Frame6"/>
                <a:graphic xmlns:a="http://schemas.openxmlformats.org/drawingml/2006/main">
                  <a:graphicData uri="http://schemas.microsoft.com/office/word/2010/wordprocessingShape">
                    <wps:wsp>
                      <wps:cNvSpPr txBox="1"/>
                      <wps:spPr>
                        <a:xfrm>
                          <a:off x="0" y="0"/>
                          <a:ext cx="6480175" cy="1670050"/>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r>
                              <w:br w:type="page"/>
                            </w:r>
                          </w:p>
                          <w:p>
                            <w:pPr>
                              <w:pStyle w:val="TextBody"/>
                              <w:bidi w:val="0"/>
                              <w:spacing w:lineRule="auto" w:line="276"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Reflects AUM obtained in connection with the closing of the Grandview Property Partners acquisition on January 2, 2026.</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Represents the distribution of realized proceeds from the disposition of assets.</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Reflects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Adjusted measures are non-GAAP measures and are explained and reconciled to the comparable GAAP measures in Exhibit 2.</w:t>
                            </w:r>
                          </w:p>
                          <w:p>
                            <w:pPr>
                              <w:pStyle w:val="TextBody"/>
                              <w:bidi w:val="0"/>
                              <w:spacing w:lineRule="auto" w:line="276" w:before="0" w:after="0"/>
                              <w:jc w:val="left"/>
                              <w:rPr/>
                            </w:pPr>
                            <w:r>
                              <w:rPr>
                                <w:rFonts w:ascii="Myriad Pro Light;sans-serif" w:hAnsi="Myriad Pro Light;sans-serif"/>
                                <w:b w:val="false"/>
                                <w:color w:val="000000"/>
                                <w:sz w:val="10"/>
                              </w:rPr>
                              <w:t>5</w:t>
                            </w:r>
                            <w:r>
                              <w:rPr>
                                <w:color w:val="000000"/>
                              </w:rPr>
                              <w:t xml:space="preserve"> </w:t>
                            </w:r>
                            <w:r>
                              <w:rPr>
                                <w:rFonts w:ascii="Myriad Pro Light;sans-serif" w:hAnsi="Myriad Pro Light;sans-serif"/>
                                <w:b w:val="false"/>
                                <w:color w:val="000000"/>
                                <w:sz w:val="16"/>
                              </w:rPr>
                              <w:t>Adjusted EBITDA represents adjusted net income before interest expense, income taxes, depreciation and amortization expense.</w:t>
                            </w:r>
                          </w:p>
                          <w:p>
                            <w:pPr>
                              <w:pStyle w:val="TextBody"/>
                              <w:bidi w:val="0"/>
                              <w:spacing w:before="0" w:after="0"/>
                              <w:jc w:val="left"/>
                              <w:rPr/>
                            </w:pPr>
                            <w:r>
                              <w:rPr/>
                            </w:r>
                          </w:p>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p>
                    <w:p>
                      <w:pPr>
                        <w:pStyle w:val="TextBody"/>
                        <w:bidi w:val="0"/>
                        <w:spacing w:lineRule="auto" w:line="276"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Reflects AUM obtained in connection with the closing of the Grandview Property Partners acquisition on January 2, 2026.</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Represents the distribution of realized proceeds from the disposition of assets.</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Reflects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Adjusted measures are non-GAAP measures and are explained and reconciled to the comparable GAAP measures in Exhibit 2.</w:t>
                      </w:r>
                    </w:p>
                    <w:p>
                      <w:pPr>
                        <w:pStyle w:val="TextBody"/>
                        <w:bidi w:val="0"/>
                        <w:spacing w:lineRule="auto" w:line="276" w:before="0" w:after="0"/>
                        <w:jc w:val="left"/>
                        <w:rPr/>
                      </w:pPr>
                      <w:r>
                        <w:rPr>
                          <w:rFonts w:ascii="Myriad Pro Light;sans-serif" w:hAnsi="Myriad Pro Light;sans-serif"/>
                          <w:b w:val="false"/>
                          <w:color w:val="000000"/>
                          <w:sz w:val="10"/>
                        </w:rPr>
                        <w:t>5</w:t>
                      </w:r>
                      <w:r>
                        <w:rPr>
                          <w:color w:val="000000"/>
                        </w:rPr>
                        <w:t xml:space="preserve"> </w:t>
                      </w:r>
                      <w:r>
                        <w:rPr>
                          <w:rFonts w:ascii="Myriad Pro Light;sans-serif" w:hAnsi="Myriad Pro Light;sans-serif"/>
                          <w:b w:val="false"/>
                          <w:color w:val="000000"/>
                          <w:sz w:val="16"/>
                        </w:rPr>
                        <w:t>Adjusted EBITDA represents adjusted net income before interest expense, income taxes, depreciation and amortization expense.</w:t>
                      </w:r>
                    </w:p>
                    <w:p>
                      <w:pPr>
                        <w:pStyle w:val="TextBody"/>
                        <w:bidi w:val="0"/>
                        <w:spacing w:before="0" w:after="0"/>
                        <w:jc w:val="left"/>
                        <w:rPr/>
                      </w:pPr>
                      <w:r>
                        <w:rPr/>
                      </w:r>
                    </w:p>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2</w:t>
                      </w:r>
                    </w:p>
                  </w:txbxContent>
                </v:textbox>
                <w10:wrap type="none"/>
              </v:rect>
            </w:pict>
          </mc:Fallback>
        </mc:AlternateContent>
      </w:r>
    </w:p>
    <w:p>
      <w:pPr>
        <w:pStyle w:val="TextBody"/>
        <w:bidi w:val="0"/>
        <w:spacing w:lineRule="auto" w:line="288" w:before="180" w:after="120"/>
        <w:jc w:val="left"/>
        <w:rPr>
          <w:rFonts w:ascii="Myriad Pro;sans-serif" w:hAnsi="Myriad Pro;sans-serif"/>
          <w:b w:val="false"/>
          <w:color w:val="000000"/>
          <w:sz w:val="20"/>
        </w:rPr>
      </w:pPr>
      <w:r>
        <w:rPr>
          <w:rFonts w:ascii="Myriad Pro;sans-serif" w:hAnsi="Myriad Pro;sans-serif"/>
          <w:b w:val="false"/>
          <w:color w:val="000000"/>
          <w:sz w:val="20"/>
        </w:rPr>
        <w:t xml:space="preserve">Capital Management and Balance Sheet </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Cash and cash equivalents were $334.5 million at June 30, 2026, compared to $214.4 million at December 31, 2025. During the June 30, 2026 quarter, the Company paid a dividend of $0.77 per share of Class A common stock with respect to the March 2026 quarter. The Company had total borrowings of $190.0 million at June 30, 2026 and December 31, 2025.</w:t>
      </w:r>
    </w:p>
    <w:p>
      <w:pPr>
        <w:pStyle w:val="TextBody"/>
        <w:bidi w:val="0"/>
        <w:spacing w:lineRule="auto" w:line="28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Total stockholders’ equity was $465.3 million at June 30, 2026, compared to $478.1 million at December 31, 2025. The Company had 71.0 million Class A common shares outstanding at June 30, 2026. The Company’s debt leverage ratio, calculated in accordance with its loan agreements, was 0.39x at June 30, 2026.</w:t>
      </w:r>
    </w:p>
    <w:p>
      <w:pPr>
        <w:pStyle w:val="TextBody"/>
        <w:bidi w:val="0"/>
        <w:spacing w:lineRule="auto" w:line="288" w:before="180" w:after="120"/>
        <w:jc w:val="left"/>
        <w:rPr>
          <w:rFonts w:ascii="Myriad Pro;sans-serif" w:hAnsi="Myriad Pro;sans-serif"/>
          <w:b w:val="false"/>
          <w:color w:val="000000"/>
          <w:sz w:val="20"/>
        </w:rPr>
      </w:pPr>
      <w:r>
        <w:rPr>
          <w:rFonts w:ascii="Myriad Pro;sans-serif" w:hAnsi="Myriad Pro;sans-serif"/>
          <w:b w:val="false"/>
          <w:color w:val="000000"/>
          <w:sz w:val="20"/>
        </w:rPr>
        <w:t>Dividend</w:t>
      </w:r>
    </w:p>
    <w:p>
      <w:pPr>
        <w:pStyle w:val="TextBody"/>
        <w:bidi w:val="0"/>
        <w:spacing w:lineRule="auto" w:line="28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The Company’s board of directors declared a variable quarterly dividend of $0.80 per share of Class A common stock with respect to the June 2026 quarter. The variable quarterly dividend represents approximately 80% of the cash generated in the June 2026 quarter and will be paid on August 31, 2026, to shareholders of record as of the close of business on August 17, 2026. Based on our projections and subject to change, we expect some portion of the 2026 dividend payments to constitute a return of capital for tax purposes.</w:t>
      </w:r>
    </w:p>
    <w:p>
      <w:pPr>
        <w:pStyle w:val="TextBody"/>
        <w:bidi w:val="0"/>
        <w:spacing w:lineRule="auto" w:line="28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Subject to board approval each quarter, we currently expect to pay a quarterly dividend of approximately 80% of the cash the Company generates each quarter from operations. We expect cash generation will generally equal adjusted net income plus long-term incentive compensation expense, less cash reserved for future franchise capital awards, with additional adjustments made for certain other sources and uses of cash, including capital expenditures. After the end of the year, our board will consider payment of a special dividend from the 20% withheld each quarter plus any discrete sources and uses of cash throughout the year, including gains realized upon seed capital redemptions and investments redeemed in connection with forfeited franchise capital awards.</w:t>
      </w:r>
    </w:p>
    <w:p>
      <w:pPr>
        <w:pStyle w:val="TextBody"/>
        <w:bidi w:val="0"/>
        <w:spacing w:lineRule="auto" w:line="288" w:before="120" w:after="120"/>
        <w:jc w:val="center"/>
        <w:rPr>
          <w:rFonts w:ascii="Myriad Pro Light;sans-serif" w:hAnsi="Myriad Pro Light;sans-serif"/>
          <w:b w:val="false"/>
          <w:color w:val="000000"/>
          <w:sz w:val="20"/>
        </w:rPr>
      </w:pPr>
      <w:r>
        <w:rPr>
          <w:rFonts w:ascii="Myriad Pro Light;sans-serif" w:hAnsi="Myriad Pro Light;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20"/>
        <w:jc w:val="left"/>
        <w:rPr>
          <w:rFonts w:ascii="Myriad Pro;sans-serif" w:hAnsi="Myriad Pro;sans-serif"/>
          <w:b w:val="false"/>
          <w:color w:val="000000"/>
          <w:sz w:val="20"/>
        </w:rPr>
      </w:pPr>
      <w:r>
        <w:rPr>
          <w:rFonts w:ascii="Myriad Pro;sans-serif" w:hAnsi="Myriad Pro;sans-serif"/>
          <w:b w:val="false"/>
          <w:color w:val="000000"/>
          <w:sz w:val="20"/>
        </w:rPr>
        <w:t xml:space="preserve">Conference Call </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The Company will host a conference call on July 29, 2026, at 11:00 a.m. (Eastern Time) to discuss these results. Hosting the call will be Jason Gottlieb, Chief Executive Officer and President, and C.J. Daley, Chief Financial Officer. Supplemental materials that will be reviewed during the call are available on the Company’s website at www.apam.com. The call will be webcast and can be accessed via the Company’s website. Listeners may also access the call by dialing 877.328.5507 or 412.317.5423 for international callers; the conference ID is 10209594. A replay of the call will be available until August 5, 2026, at 9:00 a.m. (Eastern Time), by dialing 855.669.9658 or 412.317.0088 for international callers; the replay conference ID is 2052531. An audio recording will also be available on the Company’s website.</w:t>
      </w:r>
    </w:p>
    <w:p>
      <w:pPr>
        <w:pStyle w:val="TextBody"/>
        <w:bidi w:val="0"/>
        <w:spacing w:lineRule="auto" w:line="288" w:before="180" w:after="120"/>
        <w:jc w:val="left"/>
        <w:rPr>
          <w:rFonts w:ascii="Myriad Pro;sans-serif" w:hAnsi="Myriad Pro;sans-serif"/>
          <w:b w:val="false"/>
          <w:color w:val="000000"/>
          <w:sz w:val="20"/>
        </w:rPr>
      </w:pPr>
      <w:r>
        <w:rPr>
          <w:rFonts w:ascii="Myriad Pro;sans-serif" w:hAnsi="Myriad Pro;sans-serif"/>
          <w:b w:val="false"/>
          <w:color w:val="000000"/>
          <w:sz w:val="20"/>
        </w:rPr>
        <w:t xml:space="preserve">Forward-Looking Statements and Other Disclosures </w:t>
      </w:r>
    </w:p>
    <w:p>
      <w:pPr>
        <w:pStyle w:val="TextBody"/>
        <w:bidi w:val="0"/>
        <w:spacing w:lineRule="auto" w:line="26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Certain statements in this release, and other written or oral statements made by or on behalf of the Company, are “forward-looking statements” within the meaning of the federal securities laws. Statements regarding future events and our future performance, as well as management’s current expectations, beliefs, plans, estimates or projections relating to the future, are forward-looking statements within the meaning of these laws. These forward-looking statements are only predictions based on current expectations and projections about future events. These forward-looking statements are subject to a number of risks and uncertainties, and there are important factors that could cause actual results, level of activity, performance, actions or achievements to differ materially from the results, level of activity, performance, actions or achievements expressed or implied by the forward-looking statements. These factors include: the loss of key investment professionals or senior management, adverse market or economic conditions for whatever reason, poor performance of our investment strategies, change in the legislative and regulatory environment in which we operate, operational or technical errors or other matters that cause damage to our reputation, and other factors disclosed in the Company’s filings with the Securities and Exchange Commission, including those factors listed under the caption entitled “Risk Factors” in Item 1A of the Company’s Annual Report on Form 10-K for the fiscal year ended December 31, 2025, filed with the SEC on February 20, 2026, as such factors may be updated from time to time. Our periodic and current reports are accessible on the SEC's website at www.sec.gov. The Company undertakes no obligation to update any forward-looking statements in order to reflect events or circumstances that may arise after the date of this release except as required by law. </w:t>
      </w:r>
    </w:p>
    <w:p>
      <w:pPr>
        <w:pStyle w:val="TextBody"/>
        <w:bidi w:val="0"/>
        <w:spacing w:lineRule="auto" w:line="268" w:before="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Assets Under Management (AUM) refers to the assets of pooled vehicles and separate accounts to which Artisan Partners provides services. Artisan Partners’ AUM as reported here includes assets of certain strategies for which Artisan Partners provides model portfolios to managed account sponsors, for which we earn only investment-related service fees. Model assets are generally reported on a lag not exceeding one quarter and represented $382 million, $314 million, and $115 million in aggregate as of June 30, 2026, March 31, 2026, and June 30, 2025, respectively. Artisan's definition of AUM is not based on any definition of Assets Under Management contained in Form ADV or in any of Artisan's investment management agreements. </w:t>
      </w:r>
    </w:p>
    <w:p>
      <w:pPr>
        <w:pStyle w:val="TextBody"/>
        <w:bidi w:val="0"/>
        <w:spacing w:lineRule="auto" w:line="256"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Results for any investment strategy described herein, and for different investment products within a strategy, are affected by numerous factors, including different material market or economic conditions; different investment management fee rates, brokerage commissions and other expenses; and the reinvestment of dividends or other earnings. The returns for any strategy may be positive or negative, and past performance does not guarantee future results. In these materials we present relative performance, sourced from Artisan Partners, MSCI, Russell, S&amp;P, JP Morgan and ICE BofA. Current performance may be lower or higher than the performance shown. </w:t>
      </w:r>
    </w:p>
    <w:p>
      <w:pPr>
        <w:pStyle w:val="TextBody"/>
        <w:bidi w:val="0"/>
        <w:spacing w:lineRule="auto" w:line="26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Unless otherwise noted, composite returns have been presented gross of investment advisory fees applied to client accounts, but include applicable trade commissions and transaction costs. Management fees, when reflected, would reduce the results presented for an investor in an account managed within a composite. Net-of-fees composite returns presented in these materials were calculated using the highest model investment advisory fees applicable to portfolios within the composite. Fees may be higher for certain pooled vehicles, and the composite may include accounts with performance-based fees. Index returns do not reflect the payment of fees and expenses. Certain Artisan composite returns may be represented by a single account.</w:t>
      </w:r>
    </w:p>
    <w:p>
      <w:pPr>
        <w:pStyle w:val="TextBody"/>
        <w:bidi w:val="0"/>
        <w:spacing w:lineRule="auto" w:line="268"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In these materials, we present Value Added, which is the difference between an Artisan strategy's average annual return and the return of its respective benchmark. We may also present Excess Returns (alpha), which are an estimate of the amount in dollars by which Artisan's investment strategies have outperformed or underperformed their respective benchmark. Excess Returns are calculated by (i) multiplying a strategy's beginning-of-year AUM by the difference between the returns (in basis points) of the strategy (gross of fees, unless otherwise indicated) and the benchmark for the ensuing year and (ii) summing all strategies' Excess Returns for each year calculated. Investment returns and other include all changes in AUM not included in Excess Returns, client cash flows, acquisitions, realizations and Artisan Funds distributions not reinvested. The benchmark used for purposes of presenting a strategy’s performance and calculating Value Added and Excess Returns is generally the market index most commonly used by our clients to compare the performance of the relevant strategy. For certain strategies that are managed for absolute return, the benchmark used for purposes of presenting a strategy’s performance and calculating Value Added and Excess Returns is the index used by the Company’s management to evaluate the performance of the strategy. YTD Relative performance as presented in these materials compares the performance of a strategy's composite to its respective index.</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Composites / Indexes used for the comparison calculations described are: Non-U.S. Growth Strategy / International Value Strategy-MSCI EAFE Index; Global Equity Strategy / Global Opportunities Strategy / Global Value Strategy / Franchise Strategy-MSCI All Country World Index; Global Discovery Strategy: MSCI All Country World Small Mid Cap Index; Non-U.S. Small-Mid Growth Strategy-MSCI All Country World Index Ex USA Small Mid Index; U.S. Mid-Cap Growth Strategy-Russell Midcap Growth® Index; U.S. Mid-Cap Value Strategy-Russell Midcap Value® Index; U.S. Small-Cap Growth Strategy-Russell 2000 Growth® Index; Value Equity Strategy-Russell 1000 Value® Index; Developing World Strategy / Sustainable Emerging Markets Strategy-MSCI Emerging Markets Index; High Income Strategy-ICE BofA U.S. High Yield Index; Credit Opportunities Strategy-ICE BofA U.S. Dollar 3-Month Deposit Offered Rate Constant Maturity Index; Antero Peak Strategy / Antero Peak Hedge Strategy / Select Equity Strategy / Value Income Strategy-S&amp;P 500® Market Index; International Explorer Strategy-MSCI All Country World Index Ex USA Small Cap; Floating Rate Strategy-S&amp;P UBS Leveraged Loan Index; Global Unconstrained Strategy-ICE BofA 3-Month U.S. Treasury Bill Index; Global Special Situations Strategy-ICE BofA Global High Yield Index; Emerging Markets Debt Opportunities Strategy-J.P. Morgan EMB Hard Currency/Local Currency 50-50; Emerging Markets Local Opportunities Strategy-J.P. Morgan GBI-EM Global Diversified Index. Where applicable, composite returns have been included for the following discontinued strategies and their indexes: Global Small-Cap Growth Strategy (Jul 1, 2013-Dec 31, 2016)-MSCI ACWI Small Cap Index; U.S. Small-Cap Value Strategy (Jun 1, 1997-Apr 30, 2016)-Russell 2000® Index; Non-U.S. Small-Cap Growth Strategy (Jan 1, 2002-Nov 30, 2018)-MSCI EAFE Small Cap Index; China Post-Venture Strategy (Apr 1, 2021-Jun 30, 2025). Index returns do not reflect the payment of fees and expenses. An investment cannot be made directly in an Artisan Partners composite or a market index and the aggregated results are hypothetical.</w:t>
      </w:r>
    </w:p>
    <w:p>
      <w:pPr>
        <w:pStyle w:val="TextBody"/>
        <w:bidi w:val="0"/>
        <w:spacing w:lineRule="auto" w:line="26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None of the information in these materials constitutes either an offer or a solicitation to buy or sell any fund securities, nor is any such information a recommendation for any fund security or investment service. The funds and strategies may not be available to all investors in all jurisdictions. </w:t>
      </w:r>
    </w:p>
    <w:p>
      <w:pPr>
        <w:pStyle w:val="TextBody"/>
        <w:bidi w:val="0"/>
        <w:spacing w:lineRule="auto" w:line="276"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Grandview Property Partners is a separate, wholly-owned subsidiary and a registered investment adviser with the U.S. Securities and Exchange Commission.</w:t>
      </w:r>
    </w:p>
    <w:p>
      <w:pPr>
        <w:pStyle w:val="TextBody"/>
        <w:bidi w:val="0"/>
        <w:spacing w:lineRule="auto" w:line="26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Any discrepancies included in this release between totals and the sums of the amounts listed are due to rounding.</w:t>
      </w:r>
    </w:p>
    <w:p>
      <w:pPr>
        <w:pStyle w:val="TextBody"/>
        <w:bidi w:val="0"/>
        <w:spacing w:before="120" w:after="120"/>
        <w:jc w:val="left"/>
        <w:rPr/>
      </w:pPr>
      <w:r>
        <w:rPr/>
      </w:r>
    </w:p>
    <w:p>
      <w:pPr>
        <w:pStyle w:val="TextBody"/>
        <w:bidi w:val="0"/>
        <w:spacing w:lineRule="auto" w:line="288" w:before="120" w:after="120"/>
        <w:jc w:val="left"/>
        <w:rPr>
          <w:rFonts w:ascii="Myriad Pro;sans-serif" w:hAnsi="Myriad Pro;sans-serif"/>
          <w:b w:val="false"/>
          <w:color w:val="000000"/>
          <w:sz w:val="20"/>
        </w:rPr>
      </w:pPr>
      <w:r>
        <w:rPr>
          <w:rFonts w:ascii="Myriad Pro;sans-serif" w:hAnsi="Myriad Pro;sans-serif"/>
          <w:b w:val="false"/>
          <w:color w:val="000000"/>
          <w:sz w:val="20"/>
        </w:rPr>
        <w:t xml:space="preserve">About Artisan Partners </w:t>
      </w:r>
    </w:p>
    <w:p>
      <w:pPr>
        <w:pStyle w:val="TextBody"/>
        <w:bidi w:val="0"/>
        <w:spacing w:lineRule="auto" w:line="288" w:before="12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 </w:t>
      </w:r>
    </w:p>
    <w:p>
      <w:pPr>
        <w:pStyle w:val="TextBody"/>
        <w:bidi w:val="0"/>
        <w:spacing w:before="120" w:after="120"/>
        <w:jc w:val="both"/>
        <w:rPr/>
      </w:pPr>
      <w:r>
        <w:rPr/>
      </w:r>
    </w:p>
    <w:p>
      <w:pPr>
        <w:pStyle w:val="TextBody"/>
        <w:bidi w:val="0"/>
        <w:spacing w:lineRule="auto" w:line="288" w:before="120" w:after="12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Source: Artisan Partners Asset Management Inc. </w:t>
      </w:r>
    </w:p>
    <w:p>
      <w:pPr>
        <w:pStyle w:val="TextBody"/>
        <w:bidi w:val="0"/>
        <w:spacing w:before="120" w:after="120"/>
        <w:jc w:val="both"/>
        <w:rPr/>
      </w:pPr>
      <w:r>
        <w:rPr/>
      </w:r>
    </w:p>
    <w:p>
      <w:pPr>
        <w:pStyle w:val="TextBody"/>
        <w:bidi w:val="0"/>
        <w:spacing w:lineRule="auto" w:line="288" w:before="120" w:after="120"/>
        <w:jc w:val="both"/>
        <w:rPr/>
      </w:pPr>
      <w:r>
        <w:rPr>
          <w:rFonts w:ascii="Myriad Pro Light;sans-serif" w:hAnsi="Myriad Pro Light;sans-serif"/>
          <w:b w:val="false"/>
          <w:color w:val="000000"/>
          <w:sz w:val="20"/>
        </w:rPr>
        <w:t>Investor Relations Inquiries</w:t>
      </w:r>
      <w:r>
        <w:rPr>
          <w:color w:val="000000"/>
        </w:rPr>
        <w:t xml:space="preserve"> </w:t>
      </w:r>
    </w:p>
    <w:p>
      <w:pPr>
        <w:pStyle w:val="TextBody"/>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866.632.1770 </w:t>
      </w:r>
    </w:p>
    <w:p>
      <w:pPr>
        <w:pStyle w:val="TextBody"/>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ir@artisanpartners.com</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3E3F3E"/>
          <w:sz w:val="18"/>
        </w:rPr>
      </w:pPr>
      <w:r>
        <w:rPr>
          <w:rFonts w:ascii="Myriad Pro;sans-serif" w:hAnsi="Myriad Pro;sans-serif"/>
          <w:b w:val="false"/>
          <w:color w:val="3E3F3E"/>
          <w:sz w:val="18"/>
        </w:rPr>
        <w:t>Exhibit 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Artisan Partners Asset Management Inc.</w: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Consolidated Statements of Operations</w: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(unaudited; in millions, except per share amounts or as noted)</w:t>
      </w:r>
    </w:p>
    <w:tbl>
      <w:tblPr>
        <w:tblW w:w="10205" w:type="dxa"/>
        <w:jc w:val="center"/>
        <w:tblInd w:w="0" w:type="dxa"/>
        <w:tblLayout w:type="fixed"/>
        <w:tblCellMar>
          <w:top w:w="28" w:type="dxa"/>
          <w:left w:w="28" w:type="dxa"/>
          <w:bottom w:w="28" w:type="dxa"/>
          <w:right w:w="28" w:type="dxa"/>
        </w:tblCellMar>
      </w:tblPr>
      <w:tblGrid>
        <w:gridCol w:w="1460"/>
        <w:gridCol w:w="1089"/>
        <w:gridCol w:w="1097"/>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5"/>
      </w:tblGrid>
      <w:tr>
        <w:trPr/>
        <w:tc>
          <w:tcPr>
            <w:tcW w:w="14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Six Months Ended</w:t>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Revenues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Management fees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Artisan Funds and Artisan Global Funds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Separate accounts and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205.6 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Performance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revenues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559.9 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Operating 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Compensation and benefits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321.0 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Distribution, servicing and marketing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Occupancy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Communication and technology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Amortization of intangible assets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operating expenses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432.1 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393.6 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Operating income</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Interest income on cash and cash equivalents and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Gain (loss) on non-operating liabilities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Net investment gain (loss) of consolidated investment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Net investment gain (loss) of nonconsolidated investment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non-operating income (expense)</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51.9 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Income before income taxes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218.2 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Provision for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Net income before noncontrolling interests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173.3 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Less: Net income attributable to noncontrolling interests - Artisan Partners Holdings LP</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 Light;sans-serif" w:hAnsi="Myriad Pro Light;sans-serif"/>
                <w:b w:val="false"/>
                <w:color w:val="000000"/>
                <w:sz w:val="18"/>
              </w:rPr>
            </w:pPr>
            <w:r>
              <w:rPr>
                <w:rFonts w:ascii="Myriad Pro Light;sans-serif" w:hAnsi="Myriad Pro Light;sans-serif"/>
                <w:b w:val="false"/>
                <w:color w:val="000000"/>
                <w:sz w:val="18"/>
              </w:rPr>
              <w:t>Less: Net income (loss) attributable to noncontrolling interests - consolidated investment products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sans-serif" w:hAnsi="Myriad Pro;sans-serif"/>
                <w:b w:val="false"/>
                <w:color w:val="000000"/>
                <w:sz w:val="18"/>
              </w:rPr>
            </w:pPr>
            <w:r>
              <w:rPr>
                <w:rFonts w:ascii="Myriad Pro;sans-serif" w:hAnsi="Myriad Pro;sans-serif"/>
                <w:b w:val="false"/>
                <w:color w:val="000000"/>
                <w:sz w:val="18"/>
              </w:rPr>
              <w:t>Net income attributable to Artisan Partners Asset Management Inc.</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128.7 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sans-serif" w:hAnsi="Myriad Pro;sans-serif"/>
                <w:b w:val="false"/>
                <w:color w:val="000000"/>
                <w:sz w:val="18"/>
              </w:rPr>
            </w:pPr>
            <w:r>
              <w:rPr>
                <w:rFonts w:ascii="Myriad Pro;sans-serif" w:hAnsi="Myriad Pro;sans-serif"/>
                <w:b w:val="false"/>
                <w:color w:val="000000"/>
                <w:sz w:val="18"/>
              </w:rPr>
              <w:t>Basic earnings per share - Class A common shares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Myriad Pro;sans-serif" w:hAnsi="Myriad Pro;sans-serif"/>
                <w:b w:val="false"/>
                <w:color w:val="000000"/>
                <w:sz w:val="18"/>
              </w:rPr>
            </w:pPr>
            <w:r>
              <w:rPr>
                <w:rFonts w:ascii="Myriad Pro;sans-serif" w:hAnsi="Myriad Pro;sans-serif"/>
                <w:b w:val="false"/>
                <w:color w:val="000000"/>
                <w:sz w:val="18"/>
              </w:rPr>
              <w:t>Diluted earnings per share - Class A common shares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Average shares outstanding</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Class A common shares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Participating unvested restricted share-based awards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Total average shares outstanding</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3E3F3E"/>
          <w:sz w:val="18"/>
        </w:rPr>
      </w:pPr>
      <w:r>
        <w:rPr>
          <w:rFonts w:ascii="Myriad Pro;sans-serif" w:hAnsi="Myriad Pro;sans-serif"/>
          <w:b w:val="false"/>
          <w:color w:val="3E3F3E"/>
          <w:sz w:val="18"/>
        </w:rPr>
        <w:t>Exhibit 2</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Artisan Partners Asset Management Inc.</w: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Reconciliation of GAAP to Non-GAAP (“Adjusted”) Measures</w:t>
      </w:r>
    </w:p>
    <w:p>
      <w:pPr>
        <w:pStyle w:val="TextBody"/>
        <w:bidi w:val="0"/>
        <w:spacing w:lineRule="auto" w:line="288" w:before="0" w:after="0"/>
        <w:jc w:val="center"/>
        <w:rPr>
          <w:rFonts w:ascii="Myriad Pro;sans-serif" w:hAnsi="Myriad Pro;sans-serif"/>
          <w:b w:val="false"/>
          <w:color w:val="3E3F3E"/>
          <w:sz w:val="18"/>
        </w:rPr>
      </w:pPr>
      <w:r>
        <w:rPr>
          <w:rFonts w:ascii="Myriad Pro;sans-serif" w:hAnsi="Myriad Pro;sans-serif"/>
          <w:b w:val="false"/>
          <w:color w:val="3E3F3E"/>
          <w:sz w:val="18"/>
        </w:rPr>
        <w:t>(unaudited; in millions, except per share amounts or as noted)</w:t>
      </w:r>
    </w:p>
    <w:tbl>
      <w:tblPr>
        <w:tblW w:w="10205" w:type="dxa"/>
        <w:jc w:val="center"/>
        <w:tblInd w:w="0" w:type="dxa"/>
        <w:tblLayout w:type="fixed"/>
        <w:tblCellMar>
          <w:top w:w="28" w:type="dxa"/>
          <w:left w:w="28" w:type="dxa"/>
          <w:bottom w:w="28" w:type="dxa"/>
          <w:right w:w="28" w:type="dxa"/>
        </w:tblCellMar>
      </w:tblPr>
      <w:tblGrid>
        <w:gridCol w:w="1214"/>
        <w:gridCol w:w="930"/>
        <w:gridCol w:w="932"/>
        <w:gridCol w:w="226"/>
        <w:gridCol w:w="706"/>
        <w:gridCol w:w="271"/>
        <w:gridCol w:w="109"/>
        <w:gridCol w:w="109"/>
        <w:gridCol w:w="109"/>
        <w:gridCol w:w="226"/>
        <w:gridCol w:w="586"/>
        <w:gridCol w:w="271"/>
        <w:gridCol w:w="109"/>
        <w:gridCol w:w="109"/>
        <w:gridCol w:w="109"/>
        <w:gridCol w:w="226"/>
        <w:gridCol w:w="586"/>
        <w:gridCol w:w="271"/>
        <w:gridCol w:w="109"/>
        <w:gridCol w:w="109"/>
        <w:gridCol w:w="109"/>
        <w:gridCol w:w="226"/>
        <w:gridCol w:w="706"/>
        <w:gridCol w:w="271"/>
        <w:gridCol w:w="109"/>
        <w:gridCol w:w="109"/>
        <w:gridCol w:w="109"/>
        <w:gridCol w:w="226"/>
        <w:gridCol w:w="706"/>
        <w:gridCol w:w="317"/>
      </w:tblGrid>
      <w:tr>
        <w:trPr/>
        <w:tc>
          <w:tcPr>
            <w:tcW w:w="121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Six Months Ended</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Net income attributable to Artisan Partners Asset Management Inc. (GAAP)</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80.9 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58.0 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138.9 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128.7 </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income attributable to noncontrolling interests - Artisan Partners Holdings LP</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Provision for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44.9 </w:t>
            </w:r>
          </w:p>
        </w:tc>
        <w:tc>
          <w:tcPr>
            <w:tcW w:w="31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Compensation expense (reversal) related to market valuation changes in compensation plans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12.3 </w:t>
            </w:r>
          </w:p>
        </w:tc>
        <w:tc>
          <w:tcPr>
            <w:tcW w:w="31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Change in fair value of contingent consideration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investment (gain) loss of investment products attributable to APAM</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(37.3)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(32.6)</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Less: Adjusted provision for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44.1 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net income (Non-GAAP)</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76.5 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147.3 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134.5 </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Average shares outstanding</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Class A common shares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66.4 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Assumed vesting or exchange of:</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Unvested restricted share-based awards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5.4 </w:t>
            </w:r>
          </w:p>
        </w:tc>
        <w:tc>
          <w:tcPr>
            <w:tcW w:w="31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Artisan Partners Holdings LP units outstanding (noncontrolling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shares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81.2 </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Basic earnings per share (GAAP)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Diluted earnings per share (GAAP)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net income per adjusted share (Non-GAAP)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Operating income (GAAP)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84.6 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166.3 </w:t>
            </w:r>
          </w:p>
        </w:tc>
        <w:tc>
          <w:tcPr>
            <w:tcW w:w="31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Compensation expense (reversal) related to market valuation changes in compensation plans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operating income (Non-GAAP)</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101.4 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89.6 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195.6 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178.6 </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Operating margin (GAAP)</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29.7 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operating margin (Non-GAAP)</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31.9 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Net income attributable to Artisan Partners Asset Management Inc. (GAAP)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138.9 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128.7 </w:t>
            </w:r>
          </w:p>
        </w:tc>
        <w:tc>
          <w:tcPr>
            <w:tcW w:w="31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income attributable to noncontrolling interests - Artisan Partners Holdings LP</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25.3 </w:t>
            </w:r>
          </w:p>
        </w:tc>
        <w:tc>
          <w:tcPr>
            <w:tcW w:w="31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Compensation expense (reversal) related to market valuation changes in compensation plans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Change in fair value of contingent consideration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investment (gain) loss of investment products attributable to APAM</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(37.3)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(32.6)</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Provision for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44.9 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Adjusted EBITDA (Non-GAAP)</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106.0 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98.4 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204.4 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187.8 </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20"/>
        <w:jc w:val="left"/>
        <w:rPr>
          <w:rFonts w:ascii="Myriad Pro;sans-serif" w:hAnsi="Myriad Pro;sans-serif"/>
          <w:b w:val="false"/>
          <w:color w:val="000000"/>
          <w:sz w:val="20"/>
        </w:rPr>
      </w:pPr>
      <w:r>
        <w:rPr>
          <w:rFonts w:ascii="Myriad Pro;sans-serif" w:hAnsi="Myriad Pro;sans-serif"/>
          <w:b w:val="false"/>
          <w:color w:val="000000"/>
          <w:sz w:val="20"/>
        </w:rPr>
        <w:t>Supplemental Non-GAAP Financial Information</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The Company's management uses non-GAAP measures (referred to as “adjusted” measures) of net income to evaluate the profitability and efficiency of the underlying operations of the business and as a factor when considering net income available for distributions and dividends. These adjusted measures remove the impact of (1) net gain (loss) on the tax receivable agreements (if any), (2) compensation expense (reversal) related to market valuation changes in compensation plans, (3) net investment gain (loss) of investment products, (4) change in fair value of contingent consideration, (5) non-recurring expenses (if any) and (6) adjustments to deferred taxes as a result of the enactment of tax laws (if any). These adjusted measures also remove the non-operational complexities of the Company's structure by adding back noncontrolling interests and assuming all income of Artisan Partners Holdings is allocated to APAM. Management believes these non-GAAP measures provide meaningful information to analyze the Company's profitability and efficiency between periods and over time. The Company has included these non-GAAP measures to provide investors with the same financial metrics used by management to manage the Company.</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Non-GAAP measures should be considered in addition to, and not as a substitute for, financial measures prepared in accordance with GAAP. The Company's non-GAAP measures may differ from similar measures used by other companies, even if similar terms are used to identify such measures. The Company's non-GAAP measures are as follows:</w:t>
      </w:r>
    </w:p>
    <w:p>
      <w:pPr>
        <w:pStyle w:val="TextBody"/>
        <w:bidi w:val="0"/>
        <w:spacing w:lineRule="auto" w:line="288" w:before="180" w:after="120"/>
        <w:ind w:left="0" w:right="0" w:hanging="360"/>
        <w:jc w:val="left"/>
        <w:rPr/>
      </w:pPr>
      <w:r>
        <w:rPr>
          <w:color w:val="000000"/>
        </w:rPr>
        <w:t>•</w:t>
      </w:r>
      <w:r>
        <w:rPr>
          <w:rFonts w:ascii="Myriad Pro Light;sans-serif" w:hAnsi="Myriad Pro Light;sans-serif"/>
          <w:b w:val="false"/>
          <w:i/>
          <w:color w:val="000000"/>
          <w:sz w:val="20"/>
        </w:rPr>
        <w:t>Adjusted net income</w:t>
      </w:r>
      <w:r>
        <w:rPr>
          <w:color w:val="000000"/>
        </w:rPr>
        <w:t xml:space="preserve"> </w:t>
      </w:r>
      <w:r>
        <w:rPr>
          <w:rFonts w:ascii="Myriad Pro Light;sans-serif" w:hAnsi="Myriad Pro Light;sans-serif"/>
          <w:b w:val="false"/>
          <w:color w:val="000000"/>
          <w:sz w:val="20"/>
        </w:rPr>
        <w:t>represents net income excluding the impact of (1) net gain (loss) on the tax receivable agreements (if any), (2) compensation expense (reversal) related to market valuation changes in compensation plans, (3) net investment gain (loss) of investment products, (4) change in fair value of contingent consideration, (5) non-recurring expenses (if any) and (6) adjustments to deferred taxes as a result of the enactment of tax laws (if any). Adjusted net income also reflects income taxes assuming the vesting of all unvested Class A share-based awards and as if all outstanding limited partnership units of Artisan Partners Holdings had been exchanged for Class A common stock of APAM on a one-for-one basis. Assuming full vesting and exchange, all income of Artisan Partners Holdings is treated as if it were allocated to APAM, and the adjusted provision for income taxes represents an estimate of income tax expense at an effective rate reflecting APAM's current federal, state and local income statutory tax rates. The adjusted tax rate was 24.7% for all periods presented.</w:t>
      </w:r>
    </w:p>
    <w:p>
      <w:pPr>
        <w:pStyle w:val="TextBody"/>
        <w:bidi w:val="0"/>
        <w:spacing w:lineRule="auto" w:line="288" w:before="180" w:after="120"/>
        <w:ind w:left="0" w:right="0" w:hanging="360"/>
        <w:jc w:val="left"/>
        <w:rPr/>
      </w:pPr>
      <w:r>
        <w:rPr>
          <w:color w:val="000000"/>
        </w:rPr>
        <w:t>•</w:t>
      </w:r>
      <w:r>
        <w:rPr>
          <w:rFonts w:ascii="Myriad Pro Light;sans-serif" w:hAnsi="Myriad Pro Light;sans-serif"/>
          <w:b w:val="false"/>
          <w:i/>
          <w:color w:val="000000"/>
          <w:sz w:val="20"/>
        </w:rPr>
        <w:t>Adjusted net income per adjusted share</w:t>
      </w:r>
      <w:r>
        <w:rPr>
          <w:color w:val="000000"/>
        </w:rPr>
        <w:t xml:space="preserve"> </w:t>
      </w:r>
      <w:r>
        <w:rPr>
          <w:rFonts w:ascii="Myriad Pro Light;sans-serif" w:hAnsi="Myriad Pro Light;sans-serif"/>
          <w:b w:val="false"/>
          <w:color w:val="000000"/>
          <w:sz w:val="20"/>
        </w:rPr>
        <w:t xml:space="preserve">is calculated by dividing adjusted net income by adjusted shares. The number of adjusted shares is derived by assuming the vesting of all unvested Class A share-based awards and the exchange of all outstanding limited partnership units of Artisan Partners Holdings for Class A common stock of APAM on a one-for-one basis. </w:t>
      </w:r>
    </w:p>
    <w:p>
      <w:pPr>
        <w:pStyle w:val="TextBody"/>
        <w:bidi w:val="0"/>
        <w:spacing w:lineRule="auto" w:line="288" w:before="180" w:after="120"/>
        <w:ind w:left="0" w:right="0" w:hanging="360"/>
        <w:jc w:val="left"/>
        <w:rPr/>
      </w:pPr>
      <w:r>
        <w:rPr>
          <w:color w:val="000000"/>
        </w:rPr>
        <w:t>•</w:t>
      </w:r>
      <w:r>
        <w:rPr>
          <w:rFonts w:ascii="Myriad Pro Light;sans-serif" w:hAnsi="Myriad Pro Light;sans-serif"/>
          <w:b w:val="false"/>
          <w:i/>
          <w:color w:val="000000"/>
          <w:sz w:val="20"/>
        </w:rPr>
        <w:t>Adjusted operating income</w:t>
      </w:r>
      <w:r>
        <w:rPr>
          <w:color w:val="000000"/>
        </w:rPr>
        <w:t xml:space="preserve"> </w:t>
      </w:r>
      <w:r>
        <w:rPr>
          <w:rFonts w:ascii="Myriad Pro Light;sans-serif" w:hAnsi="Myriad Pro Light;sans-serif"/>
          <w:b w:val="false"/>
          <w:color w:val="000000"/>
          <w:sz w:val="20"/>
        </w:rPr>
        <w:t>represents the operating income of the consolidated company excluding compensation expense related to market valuation changes in compensation plans and non-recurring expenses.</w:t>
      </w:r>
    </w:p>
    <w:p>
      <w:pPr>
        <w:pStyle w:val="TextBody"/>
        <w:bidi w:val="0"/>
        <w:spacing w:lineRule="auto" w:line="288" w:before="180" w:after="120"/>
        <w:ind w:left="0" w:right="0" w:hanging="360"/>
        <w:jc w:val="left"/>
        <w:rPr/>
      </w:pPr>
      <w:r>
        <w:rPr>
          <w:color w:val="000000"/>
        </w:rPr>
        <w:t>•</w:t>
      </w:r>
      <w:r>
        <w:rPr>
          <w:rFonts w:ascii="Myriad Pro Light;sans-serif" w:hAnsi="Myriad Pro Light;sans-serif"/>
          <w:b w:val="false"/>
          <w:i/>
          <w:color w:val="000000"/>
          <w:sz w:val="20"/>
        </w:rPr>
        <w:t>Adjusted operating margin</w:t>
      </w:r>
      <w:r>
        <w:rPr>
          <w:color w:val="000000"/>
        </w:rPr>
        <w:t xml:space="preserve"> </w:t>
      </w:r>
      <w:r>
        <w:rPr>
          <w:rFonts w:ascii="Myriad Pro Light;sans-serif" w:hAnsi="Myriad Pro Light;sans-serif"/>
          <w:b w:val="false"/>
          <w:color w:val="000000"/>
          <w:sz w:val="20"/>
        </w:rPr>
        <w:t>is calculated by dividing adjusted operating income by total revenues.</w:t>
      </w:r>
    </w:p>
    <w:p>
      <w:pPr>
        <w:pStyle w:val="TextBody"/>
        <w:bidi w:val="0"/>
        <w:spacing w:lineRule="auto" w:line="288" w:before="180" w:after="120"/>
        <w:ind w:left="0" w:right="0" w:hanging="360"/>
        <w:jc w:val="left"/>
        <w:rPr/>
      </w:pPr>
      <w:r>
        <w:rPr>
          <w:color w:val="000000"/>
        </w:rPr>
        <w:t>•</w:t>
      </w:r>
      <w:r>
        <w:rPr>
          <w:rFonts w:ascii="Myriad Pro Light;sans-serif" w:hAnsi="Myriad Pro Light;sans-serif"/>
          <w:b w:val="false"/>
          <w:i/>
          <w:color w:val="000000"/>
          <w:sz w:val="20"/>
        </w:rPr>
        <w:t>Adjusted EBITDA</w:t>
      </w:r>
      <w:r>
        <w:rPr>
          <w:color w:val="000000"/>
        </w:rPr>
        <w:t xml:space="preserve"> </w:t>
      </w:r>
      <w:r>
        <w:rPr>
          <w:rFonts w:ascii="Myriad Pro Light;sans-serif" w:hAnsi="Myriad Pro Light;sans-serif"/>
          <w:b w:val="false"/>
          <w:color w:val="000000"/>
          <w:sz w:val="20"/>
        </w:rPr>
        <w:t>represents adjusted net income before interest expense, income taxes, depreciation and amortization expense.</w:t>
      </w:r>
    </w:p>
    <w:p>
      <w:pPr>
        <w:pStyle w:val="TextBody"/>
        <w:bidi w:val="0"/>
        <w:spacing w:lineRule="auto" w:line="288" w:before="180" w:after="120"/>
        <w:jc w:val="left"/>
        <w:rPr/>
      </w:pPr>
      <w:r>
        <w:rPr>
          <w:rFonts w:ascii="Myriad Pro Light;sans-serif" w:hAnsi="Myriad Pro Light;sans-serif"/>
          <w:b w:val="false"/>
          <w:i/>
          <w:color w:val="000000"/>
          <w:sz w:val="20"/>
        </w:rPr>
        <w:t xml:space="preserve">Net gain (loss) on the tax receivable agreements </w:t>
      </w:r>
      <w:r>
        <w:rPr>
          <w:rFonts w:ascii="Myriad Pro Light;sans-serif" w:hAnsi="Myriad Pro Light;sans-serif"/>
          <w:b w:val="false"/>
          <w:color w:val="000000"/>
          <w:sz w:val="20"/>
        </w:rPr>
        <w:t>represents the income (expense) associated with the change in estimate of amounts payable under the tax receivable agreements entered into in connection with APAM’s initial public offering and related reorganization.</w:t>
      </w:r>
    </w:p>
    <w:p>
      <w:pPr>
        <w:pStyle w:val="TextBody"/>
        <w:bidi w:val="0"/>
        <w:spacing w:lineRule="auto" w:line="288" w:before="180" w:after="120"/>
        <w:jc w:val="left"/>
        <w:rPr/>
      </w:pPr>
      <w:r>
        <w:rPr>
          <w:rFonts w:ascii="Myriad Pro Light;sans-serif" w:hAnsi="Myriad Pro Light;sans-serif"/>
          <w:b w:val="false"/>
          <w:i/>
          <w:color w:val="000000"/>
          <w:sz w:val="20"/>
        </w:rPr>
        <w:t xml:space="preserve">Compensation expense (reversal) related to market valuation changes in compensation plans </w:t>
      </w:r>
      <w:r>
        <w:rPr>
          <w:rFonts w:ascii="Myriad Pro Light;sans-serif" w:hAnsi="Myriad Pro Light;sans-serif"/>
          <w:b w:val="false"/>
          <w:color w:val="000000"/>
          <w:sz w:val="20"/>
        </w:rPr>
        <w:t>represents the expense (income) associated with the change in the long-term incentive award liability resulting from investment returns of the underlying investment products. Because the compensation expense impact of the investment market exposure is economically hedged, management believes it is useful to reflect the expected net income offset in the calculation of adjusted operating income, adjusted net income, and adjusted EBITDA. The related investment gain (loss) on the underlying investments is included in the adjustment for net investment gain (loss) of investment products.</w:t>
      </w:r>
    </w:p>
    <w:p>
      <w:pPr>
        <w:pStyle w:val="TextBody"/>
        <w:bidi w:val="0"/>
        <w:spacing w:lineRule="auto" w:line="288" w:before="180" w:after="120"/>
        <w:jc w:val="left"/>
        <w:rPr/>
      </w:pPr>
      <w:r>
        <w:rPr>
          <w:rFonts w:ascii="Myriad Pro Light;sans-serif" w:hAnsi="Myriad Pro Light;sans-serif"/>
          <w:b w:val="false"/>
          <w:i/>
          <w:color w:val="000000"/>
          <w:sz w:val="20"/>
        </w:rPr>
        <w:t xml:space="preserve">Net investment gain (loss) of investment products </w:t>
      </w:r>
      <w:r>
        <w:rPr>
          <w:rFonts w:ascii="Myriad Pro Light;sans-serif" w:hAnsi="Myriad Pro Light;sans-serif"/>
          <w:b w:val="false"/>
          <w:color w:val="000000"/>
          <w:sz w:val="20"/>
        </w:rPr>
        <w:t>represents the non-operating income (expense) related to the Company’s investments, in both consolidated sponsored investment products and nonconsolidated sponsored investment products, including investments in sponsored investment products held to economically hedge compensation plans. Excluding these non-operating market gains or losses on investments provides greater transparency to evaluate the profitability and efficiency of the underlying operations of the business. Interest income generated on cash and cash equivalents is considered part of normal operations, and therefore, is not excluded from adjusted net income.</w:t>
      </w:r>
    </w:p>
    <w:p>
      <w:pPr>
        <w:pStyle w:val="TextBody"/>
        <w:bidi w:val="0"/>
        <w:spacing w:lineRule="auto" w:line="288" w:before="180" w:after="120"/>
        <w:jc w:val="left"/>
        <w:rPr/>
      </w:pPr>
      <w:r>
        <w:rPr>
          <w:rFonts w:ascii="Myriad Pro Light;sans-serif" w:hAnsi="Myriad Pro Light;sans-serif"/>
          <w:b w:val="false"/>
          <w:i/>
          <w:color w:val="000000"/>
          <w:sz w:val="20"/>
        </w:rPr>
        <w:t>Change in fair value of contingent consideration</w:t>
      </w:r>
      <w:r>
        <w:rPr>
          <w:color w:val="000000"/>
        </w:rPr>
        <w:t xml:space="preserve"> </w:t>
      </w:r>
      <w:r>
        <w:rPr>
          <w:rFonts w:ascii="Myriad Pro Light;sans-serif" w:hAnsi="Myriad Pro Light;sans-serif"/>
          <w:b w:val="false"/>
          <w:color w:val="000000"/>
          <w:sz w:val="20"/>
        </w:rPr>
        <w:t>represents the income (expense) associated with the change in fair value of acquisition-related contingent consideration.</w:t>
      </w:r>
    </w:p>
    <w:p>
      <w:pPr>
        <w:pStyle w:val="TextBody"/>
        <w:bidi w:val="0"/>
        <w:spacing w:lineRule="auto" w:line="288" w:before="180" w:after="120"/>
        <w:jc w:val="left"/>
        <w:rPr/>
      </w:pPr>
      <w:r>
        <w:rPr>
          <w:rFonts w:ascii="Myriad Pro Light;sans-serif" w:hAnsi="Myriad Pro Light;sans-serif"/>
          <w:b w:val="false"/>
          <w:i/>
          <w:color w:val="000000"/>
          <w:sz w:val="20"/>
        </w:rPr>
        <w:t>Non-recurring expenses (if any)</w:t>
      </w:r>
      <w:r>
        <w:rPr>
          <w:color w:val="000000"/>
        </w:rPr>
        <w:t xml:space="preserve"> </w:t>
      </w:r>
      <w:r>
        <w:rPr>
          <w:rFonts w:ascii="Myriad Pro Light;sans-serif" w:hAnsi="Myriad Pro Light;sans-serif"/>
          <w:b w:val="false"/>
          <w:color w:val="000000"/>
          <w:sz w:val="20"/>
        </w:rPr>
        <w:t>represents non-recurring professional fees that are not reflective of core operations.</w:t>
      </w:r>
    </w:p>
    <w:p>
      <w:pPr>
        <w:pStyle w:val="TextBody"/>
        <w:bidi w:val="0"/>
        <w:spacing w:lineRule="auto" w:line="288" w:before="180" w:after="120"/>
        <w:jc w:val="left"/>
        <w:rPr>
          <w:rFonts w:ascii="Myriad Pro Light;sans-serif" w:hAnsi="Myriad Pro Light;sans-serif"/>
          <w:b w:val="false"/>
          <w:color w:val="000000"/>
          <w:sz w:val="20"/>
        </w:rPr>
      </w:pPr>
      <w:r>
        <w:rPr>
          <w:rFonts w:ascii="Myriad Pro Light;sans-serif" w:hAnsi="Myriad Pro Light;sans-serif"/>
          <w:b w:val="false"/>
          <w:color w:val="000000"/>
          <w:sz w:val="20"/>
        </w:rPr>
        <w:t>Adjustments to income tax expense as a result of the enactment of tax laws (if any) relates to the remeasurement of deferred tax assets upon enactment.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000000"/>
          <w:sz w:val="18"/>
        </w:rPr>
      </w:pPr>
      <w:r>
        <w:rPr>
          <w:rFonts w:ascii="Myriad Pro;sans-serif" w:hAnsi="Myriad Pro;sans-serif"/>
          <w:b w:val="false"/>
          <w:color w:val="000000"/>
          <w:sz w:val="18"/>
        </w:rPr>
        <w:t>Exhibit 3</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Artisan Partners Asset Management Inc.</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Condensed Consolidated Statements of Financial Condition</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(unaudited; in millions)</w:t>
      </w:r>
    </w:p>
    <w:p>
      <w:pPr>
        <w:pStyle w:val="TextBody"/>
        <w:bidi w:val="0"/>
        <w:spacing w:before="0" w:after="0"/>
        <w:jc w:val="center"/>
        <w:rPr/>
      </w:pPr>
      <w:r>
        <w:rPr/>
      </w:r>
    </w:p>
    <w:p>
      <w:pPr>
        <w:pStyle w:val="TextBody"/>
        <w:bidi w:val="0"/>
        <w:spacing w:before="0" w:after="0"/>
        <w:jc w:val="center"/>
        <w:rPr/>
      </w:pPr>
      <w:r>
        <w:rPr/>
      </w:r>
    </w:p>
    <w:tbl>
      <w:tblPr>
        <w:tblW w:w="10053" w:type="dxa"/>
        <w:jc w:val="center"/>
        <w:tblInd w:w="0" w:type="dxa"/>
        <w:tblLayout w:type="fixed"/>
        <w:tblCellMar>
          <w:top w:w="28" w:type="dxa"/>
          <w:left w:w="28" w:type="dxa"/>
          <w:bottom w:w="28" w:type="dxa"/>
          <w:right w:w="28" w:type="dxa"/>
        </w:tblCellMar>
      </w:tblPr>
      <w:tblGrid>
        <w:gridCol w:w="2553"/>
        <w:gridCol w:w="2250"/>
        <w:gridCol w:w="2262"/>
        <w:gridCol w:w="226"/>
        <w:gridCol w:w="886"/>
        <w:gridCol w:w="109"/>
        <w:gridCol w:w="109"/>
        <w:gridCol w:w="109"/>
        <w:gridCol w:w="109"/>
        <w:gridCol w:w="257"/>
        <w:gridCol w:w="1008"/>
        <w:gridCol w:w="175"/>
      </w:tblGrid>
      <w:tr>
        <w:trPr/>
        <w:tc>
          <w:tcPr>
            <w:tcW w:w="2553"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As of</w:t>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December 31,</w:t>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Assets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Cash and cash equivalents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214.4 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Accounts receivable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154.5 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Investment securities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228.0 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Myriad Pro Light;sans-serif" w:hAnsi="Myriad Pro Light;sans-serif"/>
                <w:b w:val="false"/>
                <w:color w:val="000000"/>
                <w:sz w:val="18"/>
              </w:rPr>
            </w:pPr>
            <w:r>
              <w:rPr>
                <w:rFonts w:ascii="Myriad Pro Light;sans-serif" w:hAnsi="Myriad Pro Light;sans-serif"/>
                <w:b w:val="false"/>
                <w:color w:val="000000"/>
                <w:sz w:val="18"/>
              </w:rPr>
              <w:t>Deferred tax assets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354.7 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Goodwill</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Other intangible assets,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Myriad Pro Light;sans-serif" w:hAnsi="Myriad Pro Light;sans-serif"/>
                <w:b w:val="false"/>
                <w:color w:val="000000"/>
                <w:sz w:val="18"/>
              </w:rPr>
            </w:pPr>
            <w:r>
              <w:rPr>
                <w:rFonts w:ascii="Myriad Pro Light;sans-serif" w:hAnsi="Myriad Pro Light;sans-serif"/>
                <w:b w:val="false"/>
                <w:color w:val="000000"/>
                <w:sz w:val="18"/>
              </w:rPr>
              <w:t>Assets of consolidated investment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462.0 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Operating lease assets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105.3 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Other</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assets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1,459.5 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1,577.3 </w:t>
            </w:r>
          </w:p>
        </w:tc>
        <w:tc>
          <w:tcPr>
            <w:tcW w:w="1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Liabilities and equity</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Accounts payable, accrued expenses and other</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Accrued short-term incentive compensation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Accrued long-term incentive compensation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105.4 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Contingent consideration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Operating lease liabilities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120.9 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Borrowings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189.1 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Amounts payable under tax receivable agreements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303.4 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Liabilities of consolidated investment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liabilities</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908.1 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794.9 </w:t>
            </w:r>
          </w:p>
        </w:tc>
        <w:tc>
          <w:tcPr>
            <w:tcW w:w="1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Redeemable noncontrolling interests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304.3 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Total stockholders’ equity</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478.1 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8"/>
              </w:rPr>
            </w:pPr>
            <w:r>
              <w:rPr>
                <w:rFonts w:ascii="Myriad Pro;sans-serif" w:hAnsi="Myriad Pro;sans-serif"/>
                <w:b w:val="false"/>
                <w:color w:val="000000"/>
                <w:sz w:val="18"/>
              </w:rPr>
              <w:t>Total liabilities, redeemable noncontrolling interests and stockholders’ equity</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1,459.5 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0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1,577.3 </w:t>
            </w:r>
          </w:p>
        </w:tc>
        <w:tc>
          <w:tcPr>
            <w:tcW w:w="1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000000"/>
          <w:sz w:val="18"/>
        </w:rPr>
      </w:pPr>
      <w:r>
        <w:rPr>
          <w:rFonts w:ascii="Myriad Pro;sans-serif" w:hAnsi="Myriad Pro;sans-serif"/>
          <w:b w:val="false"/>
          <w:color w:val="000000"/>
          <w:sz w:val="18"/>
        </w:rPr>
        <w:t>Exhibit 4</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Artisan Partners Asset Management Inc.</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 xml:space="preserve">Assets Under Management by Investment Team and Vehicle </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(unaudited; in millions)</w:t>
      </w:r>
    </w:p>
    <w:tbl>
      <w:tblPr>
        <w:tblW w:w="15291" w:type="dxa"/>
        <w:jc w:val="center"/>
        <w:tblInd w:w="0" w:type="dxa"/>
        <w:tblLayout w:type="fixed"/>
        <w:tblCellMar>
          <w:top w:w="28" w:type="dxa"/>
          <w:left w:w="28" w:type="dxa"/>
          <w:bottom w:w="28" w:type="dxa"/>
          <w:right w:w="28" w:type="dxa"/>
        </w:tblCellMar>
      </w:tblPr>
      <w:tblGrid>
        <w:gridCol w:w="722"/>
        <w:gridCol w:w="353"/>
        <w:gridCol w:w="231"/>
        <w:gridCol w:w="109"/>
        <w:gridCol w:w="109"/>
        <w:gridCol w:w="109"/>
        <w:gridCol w:w="211"/>
        <w:gridCol w:w="721"/>
        <w:gridCol w:w="109"/>
        <w:gridCol w:w="211"/>
        <w:gridCol w:w="721"/>
        <w:gridCol w:w="109"/>
        <w:gridCol w:w="211"/>
        <w:gridCol w:w="616"/>
        <w:gridCol w:w="109"/>
        <w:gridCol w:w="237"/>
        <w:gridCol w:w="811"/>
        <w:gridCol w:w="123"/>
        <w:gridCol w:w="211"/>
        <w:gridCol w:w="721"/>
        <w:gridCol w:w="109"/>
        <w:gridCol w:w="243"/>
        <w:gridCol w:w="711"/>
        <w:gridCol w:w="127"/>
        <w:gridCol w:w="211"/>
        <w:gridCol w:w="721"/>
        <w:gridCol w:w="109"/>
        <w:gridCol w:w="236"/>
        <w:gridCol w:w="691"/>
        <w:gridCol w:w="124"/>
        <w:gridCol w:w="211"/>
        <w:gridCol w:w="616"/>
        <w:gridCol w:w="109"/>
        <w:gridCol w:w="263"/>
        <w:gridCol w:w="770"/>
        <w:gridCol w:w="138"/>
        <w:gridCol w:w="211"/>
        <w:gridCol w:w="616"/>
        <w:gridCol w:w="109"/>
        <w:gridCol w:w="274"/>
        <w:gridCol w:w="605"/>
        <w:gridCol w:w="142"/>
        <w:gridCol w:w="211"/>
        <w:gridCol w:w="82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7"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By Investment Team</w:t>
            </w:r>
          </w:p>
        </w:tc>
      </w:tr>
      <w:tr>
        <w:trPr/>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Growth</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Global Equity</w:t>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U.S. Value</w:t>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International Value Group</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Global Value</w:t>
            </w:r>
          </w:p>
        </w:tc>
        <w:tc>
          <w:tcPr>
            <w:tcW w:w="10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Sustainable Emerging Markets</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Credit</w:t>
            </w:r>
          </w:p>
        </w:tc>
        <w:tc>
          <w:tcPr>
            <w:tcW w:w="10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Developing World</w:t>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Antero Peak Group</w:t>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International Small-Mid</w:t>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EMsights Capital Group</w:t>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Grandview Property Partners</w:t>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Total</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8" w:type="dxa"/>
            <w:gridSpan w:val="3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51,743 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2,781 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3,145 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4,332 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172,981 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2,580 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463 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266 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8,797 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(4,630)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(6,483)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(3,193)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(681)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(520)</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(19,296)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(2,786)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(6,357)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(613)</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236 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(415)</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(404)</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(10,499)</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Realizations</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7,353 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562 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21,196 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29,778 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16,885 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58,368 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40,035 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3,508 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16,510 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3,292 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4,309 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5,272 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837 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183,389 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28,535 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17,231 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5,675 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56,112 </w:t>
            </w:r>
          </w:p>
        </w:tc>
        <w:tc>
          <w:tcPr>
            <w:tcW w:w="12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38,820 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3,316 </w:t>
            </w:r>
          </w:p>
        </w:tc>
        <w:tc>
          <w:tcPr>
            <w:tcW w:w="12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16,099 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3,303 </w:t>
            </w:r>
          </w:p>
        </w:tc>
        <w:tc>
          <w:tcPr>
            <w:tcW w:w="12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2,627 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4,249 </w:t>
            </w:r>
          </w:p>
        </w:tc>
        <w:tc>
          <w:tcPr>
            <w:tcW w:w="13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5,037 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870 </w:t>
            </w:r>
          </w:p>
        </w:tc>
        <w:tc>
          <w:tcPr>
            <w:tcW w:w="14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181,874 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8"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54,010 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2,537 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4,283 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4,913 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179,928 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2,134 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402 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(3,603)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(643)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(609)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(12,305)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(1,511)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(486)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(1,469)</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252 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(385)</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(420)</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(3,117)</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Realizations</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(769)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(4,576)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28,283 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15,849 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51,743 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35,804 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2,781 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15,530 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3,145 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4,332 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899 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172,981 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Average assets under management</w:t>
            </w:r>
            <w:r>
              <w:rPr>
                <w:rFonts w:ascii="Myriad Pro Light;sans-serif" w:hAnsi="Myriad Pro Light;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30,346 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16,729 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7,878 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54,979 </w:t>
            </w:r>
          </w:p>
        </w:tc>
        <w:tc>
          <w:tcPr>
            <w:tcW w:w="12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37,676 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2,831 </w:t>
            </w:r>
          </w:p>
        </w:tc>
        <w:tc>
          <w:tcPr>
            <w:tcW w:w="12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15,403 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3,894 </w:t>
            </w:r>
          </w:p>
        </w:tc>
        <w:tc>
          <w:tcPr>
            <w:tcW w:w="12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2,484 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4,657 </w:t>
            </w:r>
          </w:p>
        </w:tc>
        <w:tc>
          <w:tcPr>
            <w:tcW w:w="13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4,656 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890 </w:t>
            </w:r>
          </w:p>
        </w:tc>
        <w:tc>
          <w:tcPr>
            <w:tcW w:w="14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182,403 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8"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34,669 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47,486 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1,625 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4,147 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5,353 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162,390 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2,297 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6,233 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(1,883)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(56)</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(447)</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(8,096)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(1,944)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(543)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414 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146 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(337)</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(1,863)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3,072 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616 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840 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15,212 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36,748 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15,161 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7,765 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50,871 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32,906 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2,047 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13,096 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4,784 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5,856 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175,545 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34,785 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14,272 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7,372 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49,017 </w:t>
            </w:r>
          </w:p>
        </w:tc>
        <w:tc>
          <w:tcPr>
            <w:tcW w:w="12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31,191 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1,769 </w:t>
            </w:r>
          </w:p>
        </w:tc>
        <w:tc>
          <w:tcPr>
            <w:tcW w:w="127"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12,559 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4,452 </w:t>
            </w:r>
          </w:p>
        </w:tc>
        <w:tc>
          <w:tcPr>
            <w:tcW w:w="12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2,261 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5,518 </w:t>
            </w:r>
          </w:p>
        </w:tc>
        <w:tc>
          <w:tcPr>
            <w:tcW w:w="138"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3,578 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166,774 </w:t>
            </w:r>
          </w:p>
        </w:tc>
        <w:tc>
          <w:tcPr>
            <w:tcW w:w="15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000000"/>
          <w:sz w:val="18"/>
        </w:rPr>
      </w:pPr>
      <w:r>
        <w:rPr>
          <w:rFonts w:ascii="Myriad Pro;sans-serif" w:hAnsi="Myriad Pro;sans-serif"/>
          <w:b w:val="false"/>
          <w:color w:val="000000"/>
          <w:sz w:val="18"/>
        </w:rPr>
        <w:t>Exhibit 4</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46200"/>
                <wp:effectExtent l="0" t="0" r="0" b="0"/>
                <wp:wrapNone/>
                <wp:docPr id="16" name="Frame14"/>
                <a:graphic xmlns:a="http://schemas.openxmlformats.org/drawingml/2006/main">
                  <a:graphicData uri="http://schemas.microsoft.com/office/word/2010/wordprocessingShape">
                    <wps:wsp>
                      <wps:cNvSpPr txBox="1"/>
                      <wps:spPr>
                        <a:xfrm>
                          <a:off x="0" y="0"/>
                          <a:ext cx="6480175" cy="134620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r>
                              <w:br w:type="page"/>
                            </w:r>
                          </w:p>
                          <w:p>
                            <w:pPr>
                              <w:pStyle w:val="TextBody"/>
                              <w:bidi w:val="0"/>
                              <w:spacing w:lineRule="auto" w:line="276"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Reflects AUM obtained in connection with the closing of the Grandview Property Partners acquisition on January 2, 2026.</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Represents the distribution of realized proceeds from the disposition of assets.</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Reflects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For Grandview Property Partners, average assets under management is for the period beginning January 2, 2026, when the team was acquired.</w:t>
                            </w:r>
                          </w:p>
                          <w:p>
                            <w:pPr>
                              <w:pStyle w:val="TextBody"/>
                              <w:bidi w:val="0"/>
                              <w:spacing w:before="0" w:after="0"/>
                              <w:jc w:val="left"/>
                              <w:rPr/>
                            </w:pPr>
                            <w:r>
                              <w:rPr/>
                            </w:r>
                          </w:p>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p>
                    <w:p>
                      <w:pPr>
                        <w:pStyle w:val="TextBody"/>
                        <w:bidi w:val="0"/>
                        <w:spacing w:lineRule="auto" w:line="276"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Reflects AUM obtained in connection with the closing of the Grandview Property Partners acquisition on January 2, 2026.</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Represents the distribution of realized proceeds from the disposition of assets.</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Reflects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For Grandview Property Partners, average assets under management is for the period beginning January 2, 2026, when the team was acquired.</w:t>
                      </w:r>
                    </w:p>
                    <w:p>
                      <w:pPr>
                        <w:pStyle w:val="TextBody"/>
                        <w:bidi w:val="0"/>
                        <w:spacing w:before="0" w:after="0"/>
                        <w:jc w:val="left"/>
                        <w:rPr/>
                      </w:pPr>
                      <w:r>
                        <w:rPr/>
                      </w:r>
                    </w:p>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Artisan Partners Asset Management Inc.</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 xml:space="preserve">Assets Under Management by Investment Team and Vehicle </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(unaudited; in millions)</w:t>
      </w:r>
    </w:p>
    <w:tbl>
      <w:tblPr>
        <w:tblW w:w="10205" w:type="dxa"/>
        <w:jc w:val="center"/>
        <w:tblInd w:w="0" w:type="dxa"/>
        <w:tblLayout w:type="fixed"/>
        <w:tblCellMar>
          <w:top w:w="28" w:type="dxa"/>
          <w:left w:w="28" w:type="dxa"/>
          <w:bottom w:w="28" w:type="dxa"/>
          <w:right w:w="28" w:type="dxa"/>
        </w:tblCellMar>
      </w:tblPr>
      <w:tblGrid>
        <w:gridCol w:w="1228"/>
        <w:gridCol w:w="1040"/>
        <w:gridCol w:w="1028"/>
        <w:gridCol w:w="109"/>
        <w:gridCol w:w="109"/>
        <w:gridCol w:w="109"/>
        <w:gridCol w:w="605"/>
        <w:gridCol w:w="2070"/>
        <w:gridCol w:w="312"/>
        <w:gridCol w:w="486"/>
        <w:gridCol w:w="1662"/>
        <w:gridCol w:w="250"/>
        <w:gridCol w:w="211"/>
        <w:gridCol w:w="826"/>
        <w:gridCol w:w="160"/>
      </w:tblGrid>
      <w:tr>
        <w:trPr/>
        <w:tc>
          <w:tcPr>
            <w:tcW w:w="12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By Vehicle</w:t>
            </w:r>
          </w:p>
        </w:tc>
      </w:tr>
      <w:tr>
        <w:trPr/>
        <w:tc>
          <w:tcPr>
            <w:tcW w:w="3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Artisan Funds and Artisan Global Funds</w:t>
            </w:r>
          </w:p>
        </w:tc>
        <w:tc>
          <w:tcPr>
            <w:tcW w:w="23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Myriad Pro;sans-serif" w:hAnsi="Myriad Pro;sans-serif"/>
                <w:b w:val="false"/>
                <w:color w:val="000000"/>
                <w:sz w:val="16"/>
              </w:rPr>
              <w:t xml:space="preserve">Separate Accounts and Other </w:t>
            </w:r>
            <w:r>
              <w:rPr>
                <w:rFonts w:ascii="Myriad Pro;sans-serif" w:hAnsi="Myriad Pro;sans-serif"/>
                <w:b w:val="false"/>
                <w:color w:val="000000"/>
                <w:sz w:val="10"/>
              </w:rPr>
              <w:t>1</w:t>
            </w:r>
          </w:p>
        </w:tc>
        <w:tc>
          <w:tcPr>
            <w:tcW w:w="11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Total</w:t>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June 30, 2026</w:t>
            </w:r>
          </w:p>
        </w:tc>
        <w:tc>
          <w:tcPr>
            <w:tcW w:w="690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84,459 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88,522 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172,981 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5,831 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2,966 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8,797 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(6,858)</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(12,438)</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(19,296)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(1,027)</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(9,472)</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(10,499)</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Realizations</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(231)</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(231)</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10,274 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10,922 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21,196 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Net transfers</w:t>
            </w:r>
            <w:r>
              <w:rPr>
                <w:rFonts w:ascii="Myriad Pro Light;sans-serif" w:hAnsi="Myriad Pro Light;sans-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93,447 </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89,942 </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183,389 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90,469 </w:t>
            </w:r>
          </w:p>
        </w:tc>
        <w:tc>
          <w:tcPr>
            <w:tcW w:w="31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91,405 </w:t>
            </w:r>
          </w:p>
        </w:tc>
        <w:tc>
          <w:tcPr>
            <w:tcW w:w="250"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181,874 </w:t>
            </w:r>
          </w:p>
        </w:tc>
        <w:tc>
          <w:tcPr>
            <w:tcW w:w="160"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March 31, 2026</w:t>
            </w:r>
          </w:p>
        </w:tc>
        <w:tc>
          <w:tcPr>
            <w:tcW w:w="690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87,875 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92,053 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179,928 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6,353 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2,835 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9,188 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(7,424)</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(4,881)</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(12,305)</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(1,071)</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(2,046)</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(3,117)</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Realizations</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(134)</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(134)</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(2,211)</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(2,365)</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(4,576)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84,459 </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88,522 </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172,981 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89,171 </w:t>
            </w:r>
          </w:p>
        </w:tc>
        <w:tc>
          <w:tcPr>
            <w:tcW w:w="31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93,232 </w:t>
            </w:r>
          </w:p>
        </w:tc>
        <w:tc>
          <w:tcPr>
            <w:tcW w:w="250"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182,403 </w:t>
            </w:r>
          </w:p>
        </w:tc>
        <w:tc>
          <w:tcPr>
            <w:tcW w:w="160"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June 30, 2025</w:t>
            </w:r>
          </w:p>
        </w:tc>
        <w:tc>
          <w:tcPr>
            <w:tcW w:w="690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79,220 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83,170 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162,390 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4,467 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1,766 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6,233 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(4,648)</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(3,448)</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(8,096)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(181)</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(1,682)</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(1,863)</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(194)</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(194)</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6,781 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8,431 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15,212 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85,626 </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89,919 </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175,545 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81,406 </w:t>
            </w:r>
          </w:p>
        </w:tc>
        <w:tc>
          <w:tcPr>
            <w:tcW w:w="31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85,368 </w:t>
            </w:r>
          </w:p>
        </w:tc>
        <w:tc>
          <w:tcPr>
            <w:tcW w:w="25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166,774 </w:t>
            </w:r>
          </w:p>
        </w:tc>
        <w:tc>
          <w:tcPr>
            <w:tcW w:w="16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000000"/>
          <w:sz w:val="18"/>
        </w:rPr>
      </w:pPr>
      <w:r>
        <w:rPr>
          <w:rFonts w:ascii="Myriad Pro;sans-serif" w:hAnsi="Myriad Pro;sans-serif"/>
          <w:b w:val="false"/>
          <w:color w:val="000000"/>
          <w:sz w:val="18"/>
        </w:rPr>
        <w:t>Exhibit 5</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065020"/>
                <wp:effectExtent l="0" t="0" r="0" b="0"/>
                <wp:wrapNone/>
                <wp:docPr id="17" name="Frame15"/>
                <a:graphic xmlns:a="http://schemas.openxmlformats.org/drawingml/2006/main">
                  <a:graphicData uri="http://schemas.microsoft.com/office/word/2010/wordprocessingShape">
                    <wps:wsp>
                      <wps:cNvSpPr txBox="1"/>
                      <wps:spPr>
                        <a:xfrm>
                          <a:off x="0" y="0"/>
                          <a:ext cx="6480175" cy="2065020"/>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r>
                              <w:br w:type="page"/>
                            </w:r>
                          </w:p>
                          <w:p>
                            <w:pPr>
                              <w:pStyle w:val="TextBody"/>
                              <w:bidi w:val="0"/>
                              <w:spacing w:lineRule="auto" w:line="268" w:before="0" w:after="0"/>
                              <w:jc w:val="left"/>
                              <w:rPr/>
                            </w:pPr>
                            <w:r>
                              <w:rPr>
                                <w:rFonts w:ascii="Myriad Pro Light;sans-serif" w:hAnsi="Myriad Pro Light;sans-serif"/>
                                <w:b w:val="false"/>
                                <w:color w:val="000000"/>
                                <w:sz w:val="10"/>
                              </w:rPr>
                              <w:t xml:space="preserve">1 </w:t>
                            </w:r>
                            <w:r>
                              <w:rPr>
                                <w:rFonts w:ascii="Myriad Pro Light;sans-serif" w:hAnsi="Myriad Pro Light;sans-serif"/>
                                <w:b w:val="false"/>
                                <w:color w:val="000000"/>
                                <w:sz w:val="16"/>
                              </w:rPr>
                              <w:t xml:space="preserve">Separate accounts and other consists of AUM we manage in or through vehicles other than Artisan Funds and Artisan Global Funds. This AUM includes assets we manage in traditional separate accounts, Artisan-branded collective investment trusts and in our own private funds, as well as certain assets managed by the Credit team in custom, investor-driven mandates and assets under advisement for certain strategies for which we provide model portfolios to managed account sponsors. </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Reflects AUM obtained in connection with the closing of the Grandview Property Partners acquisition on January 2, 2026.</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Represents the distribution of realized proceeds from the disposition of assets.</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Reflects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5</w:t>
                            </w:r>
                            <w:r>
                              <w:rPr>
                                <w:color w:val="000000"/>
                              </w:rPr>
                              <w:t xml:space="preserve"> </w:t>
                            </w:r>
                            <w:r>
                              <w:rPr>
                                <w:rFonts w:ascii="Myriad Pro Light;sans-serif" w:hAnsi="Myriad Pro Light;sans-serif"/>
                                <w:b w:val="false"/>
                                <w:color w:val="000000"/>
                                <w:sz w:val="16"/>
                              </w:rPr>
                              <w:t>Net transfers represent certain amounts that we have identified as having been transferred out of one investment strategy, investment vehicle, or account and into another strategy, vehicle, or account.</w:t>
                            </w:r>
                          </w:p>
                          <w:p>
                            <w:pPr>
                              <w:pStyle w:val="TextBody"/>
                              <w:bidi w:val="0"/>
                              <w:spacing w:before="0" w:after="0"/>
                              <w:jc w:val="left"/>
                              <w:rPr/>
                            </w:pPr>
                            <w:r>
                              <w:rPr/>
                            </w:r>
                          </w:p>
                          <w:p>
                            <w:pPr>
                              <w:pStyle w:val="TextBody"/>
                              <w:bidi w:val="0"/>
                              <w:spacing w:lineRule="auto" w:line="276"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2.6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p>
                    <w:p>
                      <w:pPr>
                        <w:pStyle w:val="TextBody"/>
                        <w:bidi w:val="0"/>
                        <w:spacing w:lineRule="auto" w:line="268" w:before="0" w:after="0"/>
                        <w:jc w:val="left"/>
                        <w:rPr/>
                      </w:pPr>
                      <w:r>
                        <w:rPr>
                          <w:rFonts w:ascii="Myriad Pro Light;sans-serif" w:hAnsi="Myriad Pro Light;sans-serif"/>
                          <w:b w:val="false"/>
                          <w:color w:val="000000"/>
                          <w:sz w:val="10"/>
                        </w:rPr>
                        <w:t xml:space="preserve">1 </w:t>
                      </w:r>
                      <w:r>
                        <w:rPr>
                          <w:rFonts w:ascii="Myriad Pro Light;sans-serif" w:hAnsi="Myriad Pro Light;sans-serif"/>
                          <w:b w:val="false"/>
                          <w:color w:val="000000"/>
                          <w:sz w:val="16"/>
                        </w:rPr>
                        <w:t xml:space="preserve">Separate accounts and other consists of AUM we manage in or through vehicles other than Artisan Funds and Artisan Global Funds. This AUM includes assets we manage in traditional separate accounts, Artisan-branded collective investment trusts and in our own private funds, as well as certain assets managed by the Credit team in custom, investor-driven mandates and assets under advisement for certain strategies for which we provide model portfolios to managed account sponsors. </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Reflects AUM obtained in connection with the closing of the Grandview Property Partners acquisition on January 2, 2026.</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Represents the distribution of realized proceeds from the disposition of assets.</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Reflects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5</w:t>
                      </w:r>
                      <w:r>
                        <w:rPr>
                          <w:color w:val="000000"/>
                        </w:rPr>
                        <w:t xml:space="preserve"> </w:t>
                      </w:r>
                      <w:r>
                        <w:rPr>
                          <w:rFonts w:ascii="Myriad Pro Light;sans-serif" w:hAnsi="Myriad Pro Light;sans-serif"/>
                          <w:b w:val="false"/>
                          <w:color w:val="000000"/>
                          <w:sz w:val="16"/>
                        </w:rPr>
                        <w:t>Net transfers represent certain amounts that we have identified as having been transferred out of one investment strategy, investment vehicle, or account and into another strategy, vehicle, or account.</w:t>
                      </w:r>
                    </w:p>
                    <w:p>
                      <w:pPr>
                        <w:pStyle w:val="TextBody"/>
                        <w:bidi w:val="0"/>
                        <w:spacing w:before="0" w:after="0"/>
                        <w:jc w:val="left"/>
                        <w:rPr/>
                      </w:pPr>
                      <w:r>
                        <w:rPr/>
                      </w:r>
                    </w:p>
                    <w:p>
                      <w:pPr>
                        <w:pStyle w:val="TextBody"/>
                        <w:bidi w:val="0"/>
                        <w:spacing w:lineRule="auto" w:line="276"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Artisan Partners Asset Management Inc.</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 xml:space="preserve">Assets Under Management by Investment Team and Vehicle </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(unaudited; in millions)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5291" w:type="dxa"/>
        <w:jc w:val="center"/>
        <w:tblInd w:w="0" w:type="dxa"/>
        <w:tblLayout w:type="fixed"/>
        <w:tblCellMar>
          <w:top w:w="28" w:type="dxa"/>
          <w:left w:w="28" w:type="dxa"/>
          <w:bottom w:w="28" w:type="dxa"/>
          <w:right w:w="28" w:type="dxa"/>
        </w:tblCellMar>
      </w:tblPr>
      <w:tblGrid>
        <w:gridCol w:w="635"/>
        <w:gridCol w:w="440"/>
        <w:gridCol w:w="231"/>
        <w:gridCol w:w="109"/>
        <w:gridCol w:w="109"/>
        <w:gridCol w:w="109"/>
        <w:gridCol w:w="211"/>
        <w:gridCol w:w="721"/>
        <w:gridCol w:w="109"/>
        <w:gridCol w:w="211"/>
        <w:gridCol w:w="721"/>
        <w:gridCol w:w="109"/>
        <w:gridCol w:w="211"/>
        <w:gridCol w:w="616"/>
        <w:gridCol w:w="109"/>
        <w:gridCol w:w="237"/>
        <w:gridCol w:w="811"/>
        <w:gridCol w:w="123"/>
        <w:gridCol w:w="211"/>
        <w:gridCol w:w="721"/>
        <w:gridCol w:w="109"/>
        <w:gridCol w:w="243"/>
        <w:gridCol w:w="711"/>
        <w:gridCol w:w="127"/>
        <w:gridCol w:w="211"/>
        <w:gridCol w:w="721"/>
        <w:gridCol w:w="109"/>
        <w:gridCol w:w="236"/>
        <w:gridCol w:w="691"/>
        <w:gridCol w:w="124"/>
        <w:gridCol w:w="211"/>
        <w:gridCol w:w="616"/>
        <w:gridCol w:w="109"/>
        <w:gridCol w:w="263"/>
        <w:gridCol w:w="770"/>
        <w:gridCol w:w="138"/>
        <w:gridCol w:w="211"/>
        <w:gridCol w:w="616"/>
        <w:gridCol w:w="109"/>
        <w:gridCol w:w="274"/>
        <w:gridCol w:w="605"/>
        <w:gridCol w:w="142"/>
        <w:gridCol w:w="211"/>
        <w:gridCol w:w="82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By Investment Team</w:t>
            </w:r>
          </w:p>
        </w:tc>
      </w:tr>
      <w:tr>
        <w:trPr/>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Growth</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Global Equity</w:t>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U.S. Value</w:t>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International Value Group</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Global Value</w:t>
            </w:r>
          </w:p>
        </w:tc>
        <w:tc>
          <w:tcPr>
            <w:tcW w:w="10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Sustainable Emerging Markets</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Credit</w:t>
            </w:r>
          </w:p>
        </w:tc>
        <w:tc>
          <w:tcPr>
            <w:tcW w:w="10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Developing World</w:t>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Antero Peak Group</w:t>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International Small-Mid</w:t>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EMsights Capital Group</w:t>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Grandview Property Partners</w:t>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Total</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8"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54,010 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2,537 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4,283 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4,913 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179,928 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4,714 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865 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524 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(6,730)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(6,796)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(1,324)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(1,129)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(31,601)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(4,297)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(1,072)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(6,423)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(2,082)</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(739)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488 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(800)</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(824)</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(13,616)</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Realizations</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6,584 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483 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16,620 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29,778 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16,885 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58,368 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40,035 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3,508 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16,510 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3,292 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4,309 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5,272 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837 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183,389 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Average assets under management</w:t>
            </w:r>
            <w:r>
              <w:rPr>
                <w:rFonts w:ascii="Myriad Pro Light;sans-serif" w:hAnsi="Myriad Pro Light;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29,442 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16,988 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6,767 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55,570 </w:t>
            </w:r>
          </w:p>
        </w:tc>
        <w:tc>
          <w:tcPr>
            <w:tcW w:w="12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38,265 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3,076 </w:t>
            </w:r>
          </w:p>
        </w:tc>
        <w:tc>
          <w:tcPr>
            <w:tcW w:w="12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15,755 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3,599 </w:t>
            </w:r>
          </w:p>
        </w:tc>
        <w:tc>
          <w:tcPr>
            <w:tcW w:w="12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2,557 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4,452 </w:t>
            </w:r>
          </w:p>
        </w:tc>
        <w:tc>
          <w:tcPr>
            <w:tcW w:w="13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4,847 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14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182,187 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8"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44,295 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1,552 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4,100 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6,544 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161,208 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5,205 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264 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13,247 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(5,623)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(3,869)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(1,717)</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(17,950)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(3,568)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(1,196)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1,336 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(1,050)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161 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(1,453)</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(4,703)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5,365 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682 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765 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19,350 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36,748 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15,161 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7,765 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50,871 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32,906 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2,047 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13,096 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4,784 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5,856 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175,545 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36,731 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13,994 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7,535 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47,765 </w:t>
            </w:r>
          </w:p>
        </w:tc>
        <w:tc>
          <w:tcPr>
            <w:tcW w:w="12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30,793 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1,692 </w:t>
            </w:r>
          </w:p>
        </w:tc>
        <w:tc>
          <w:tcPr>
            <w:tcW w:w="127"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12,406 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9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4,371 </w:t>
            </w:r>
          </w:p>
        </w:tc>
        <w:tc>
          <w:tcPr>
            <w:tcW w:w="12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2,261 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77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5,890 </w:t>
            </w:r>
          </w:p>
        </w:tc>
        <w:tc>
          <w:tcPr>
            <w:tcW w:w="138"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3,344 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0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166,782 </w:t>
            </w:r>
          </w:p>
        </w:tc>
        <w:tc>
          <w:tcPr>
            <w:tcW w:w="15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000000"/>
          <w:sz w:val="18"/>
        </w:rPr>
      </w:pPr>
      <w:r>
        <w:rPr>
          <w:rFonts w:ascii="Myriad Pro;sans-serif" w:hAnsi="Myriad Pro;sans-serif"/>
          <w:b w:val="false"/>
          <w:color w:val="000000"/>
          <w:sz w:val="18"/>
        </w:rPr>
        <w:t>Exhibit 5</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55090"/>
                <wp:effectExtent l="0" t="0" r="0" b="0"/>
                <wp:wrapNone/>
                <wp:docPr id="18" name="Frame16"/>
                <a:graphic xmlns:a="http://schemas.openxmlformats.org/drawingml/2006/main">
                  <a:graphicData uri="http://schemas.microsoft.com/office/word/2010/wordprocessingShape">
                    <wps:wsp>
                      <wps:cNvSpPr txBox="1"/>
                      <wps:spPr>
                        <a:xfrm>
                          <a:off x="0" y="0"/>
                          <a:ext cx="6480175" cy="13550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r>
                              <w:br w:type="page"/>
                            </w:r>
                          </w:p>
                          <w:p>
                            <w:pPr>
                              <w:pStyle w:val="TextBody"/>
                              <w:bidi w:val="0"/>
                              <w:spacing w:lineRule="auto" w:line="276"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Reflects AUM obtained in connection with the closing of the Grandview Property Partners acquisition on January 2, 2026.</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Represents the distribution of realized proceeds from the disposition of assets.</w:t>
                            </w:r>
                          </w:p>
                          <w:p>
                            <w:pPr>
                              <w:pStyle w:val="TextBody"/>
                              <w:bidi w:val="0"/>
                              <w:spacing w:lineRule="auto" w:line="288"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Reflects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For Grandview Property Partners, average assets under management is for the period beginning January 2, 2026, when the team was acquired.</w:t>
                            </w:r>
                          </w:p>
                          <w:p>
                            <w:pPr>
                              <w:pStyle w:val="TextBody"/>
                              <w:bidi w:val="0"/>
                              <w:spacing w:before="0" w:after="0"/>
                              <w:jc w:val="left"/>
                              <w:rPr/>
                            </w:pPr>
                            <w:r>
                              <w:rPr/>
                            </w:r>
                          </w:p>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7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p>
                    <w:p>
                      <w:pPr>
                        <w:pStyle w:val="TextBody"/>
                        <w:bidi w:val="0"/>
                        <w:spacing w:lineRule="auto" w:line="276"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Reflects AUM obtained in connection with the closing of the Grandview Property Partners acquisition on January 2, 2026.</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Represents the distribution of realized proceeds from the disposition of assets.</w:t>
                      </w:r>
                    </w:p>
                    <w:p>
                      <w:pPr>
                        <w:pStyle w:val="TextBody"/>
                        <w:bidi w:val="0"/>
                        <w:spacing w:lineRule="auto" w:line="288"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Reflects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For Grandview Property Partners, average assets under management is for the period beginning January 2, 2026, when the team was acquired.</w:t>
                      </w:r>
                    </w:p>
                    <w:p>
                      <w:pPr>
                        <w:pStyle w:val="TextBody"/>
                        <w:bidi w:val="0"/>
                        <w:spacing w:before="0" w:after="0"/>
                        <w:jc w:val="left"/>
                        <w:rPr/>
                      </w:pPr>
                      <w:r>
                        <w:rPr/>
                      </w:r>
                    </w:p>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Artisan Partners Asset Management Inc.</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 xml:space="preserve">Assets Under Management by Investment Team and Vehicle </w:t>
      </w:r>
    </w:p>
    <w:p>
      <w:pPr>
        <w:pStyle w:val="TextBody"/>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(unaudited; in millions)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14"/>
        <w:gridCol w:w="1055"/>
        <w:gridCol w:w="1028"/>
        <w:gridCol w:w="109"/>
        <w:gridCol w:w="109"/>
        <w:gridCol w:w="109"/>
        <w:gridCol w:w="605"/>
        <w:gridCol w:w="2070"/>
        <w:gridCol w:w="312"/>
        <w:gridCol w:w="486"/>
        <w:gridCol w:w="1662"/>
        <w:gridCol w:w="250"/>
        <w:gridCol w:w="211"/>
        <w:gridCol w:w="826"/>
        <w:gridCol w:w="159"/>
      </w:tblGrid>
      <w:tr>
        <w:trPr/>
        <w:tc>
          <w:tcPr>
            <w:tcW w:w="1214"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Six Months Ended</w:t>
            </w:r>
          </w:p>
        </w:tc>
        <w:tc>
          <w:tcPr>
            <w:tcW w:w="69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By Vehicle</w:t>
            </w:r>
          </w:p>
        </w:tc>
      </w:tr>
      <w:tr>
        <w:trPr/>
        <w:tc>
          <w:tcPr>
            <w:tcW w:w="3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Artisan Funds and Artisan Global Funds</w:t>
            </w:r>
          </w:p>
        </w:tc>
        <w:tc>
          <w:tcPr>
            <w:tcW w:w="23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Myriad Pro;sans-serif" w:hAnsi="Myriad Pro;sans-serif"/>
                <w:b w:val="false"/>
                <w:color w:val="000000"/>
                <w:sz w:val="16"/>
              </w:rPr>
              <w:t xml:space="preserve">Separate Accounts and Other </w:t>
            </w:r>
            <w:r>
              <w:rPr>
                <w:rFonts w:ascii="Myriad Pro;sans-serif" w:hAnsi="Myriad Pro;sans-serif"/>
                <w:b w:val="false"/>
                <w:color w:val="000000"/>
                <w:sz w:val="10"/>
              </w:rPr>
              <w:t>1</w:t>
            </w:r>
          </w:p>
        </w:tc>
        <w:tc>
          <w:tcPr>
            <w:tcW w:w="11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Total</w:t>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87,875 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92,053 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179,928 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12,184 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5,801 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17,985 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(14,282)</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(17,319)</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(31,601)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(2,098)</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(11,518)</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(13,616)</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Acquisitions</w:t>
            </w:r>
            <w:r>
              <w:rPr>
                <w:rFonts w:ascii="Myriad Pro Light;sans-serif" w:hAnsi="Myriad Pro Light;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880 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Realizations</w:t>
            </w:r>
            <w:r>
              <w:rPr>
                <w:rFonts w:ascii="Myriad Pro Light;sans-serif" w:hAnsi="Myriad Pro Light;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(365)</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(365)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8,063 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8,557 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16,620 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Net transfers</w:t>
            </w:r>
            <w:r>
              <w:rPr>
                <w:rFonts w:ascii="Myriad Pro Light;sans-serif" w:hAnsi="Myriad Pro Light;sans-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28 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93,447 </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89,942 </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183,389 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89,853 </w:t>
            </w:r>
          </w:p>
        </w:tc>
        <w:tc>
          <w:tcPr>
            <w:tcW w:w="31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92,334 </w:t>
            </w:r>
          </w:p>
        </w:tc>
        <w:tc>
          <w:tcPr>
            <w:tcW w:w="250"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182,187 </w:t>
            </w:r>
          </w:p>
        </w:tc>
        <w:tc>
          <w:tcPr>
            <w:tcW w:w="15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Beginning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77,614 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83,594 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161,208 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inflows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9,486 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3,761 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13,247 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Gross client cash outflows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(10,236)</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(7,714)</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(17,950)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Net client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(750)</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(3,953)</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(4,703)</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Artisan Funds' distributions not reinvested</w:t>
            </w:r>
            <w:r>
              <w:rPr>
                <w:rFonts w:ascii="Myriad Pro Light;sans-serif" w:hAnsi="Myriad Pro Light;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(310)</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Investment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9,099 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10,251 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19,350 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Net transfers</w:t>
            </w:r>
            <w:r>
              <w:rPr>
                <w:rFonts w:ascii="Myriad Pro Light;sans-serif" w:hAnsi="Myriad Pro Light;sans-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27 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Ending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85,626 </w:t>
            </w:r>
          </w:p>
        </w:tc>
        <w:tc>
          <w:tcPr>
            <w:tcW w:w="3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89,919 </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175,545 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Average assets under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207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80,938 </w:t>
            </w:r>
          </w:p>
        </w:tc>
        <w:tc>
          <w:tcPr>
            <w:tcW w:w="31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166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85,844 </w:t>
            </w:r>
          </w:p>
        </w:tc>
        <w:tc>
          <w:tcPr>
            <w:tcW w:w="25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166,782 </w:t>
            </w:r>
          </w:p>
        </w:tc>
        <w:tc>
          <w:tcPr>
            <w:tcW w:w="15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Myriad Pro;sans-serif" w:hAnsi="Myriad Pro;sans-serif"/>
          <w:b w:val="false"/>
          <w:color w:val="000000"/>
          <w:sz w:val="18"/>
        </w:rPr>
      </w:pPr>
      <w:r>
        <w:rPr>
          <w:rFonts w:ascii="Myriad Pro;sans-serif" w:hAnsi="Myriad Pro;sans-serif"/>
          <w:b w:val="false"/>
          <w:color w:val="000000"/>
          <w:sz w:val="18"/>
        </w:rPr>
        <w:t>Exhibit 6</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11020"/>
                <wp:effectExtent l="0" t="0" r="0" b="0"/>
                <wp:wrapNone/>
                <wp:docPr id="19" name="Frame17"/>
                <a:graphic xmlns:a="http://schemas.openxmlformats.org/drawingml/2006/main">
                  <a:graphicData uri="http://schemas.microsoft.com/office/word/2010/wordprocessingShape">
                    <wps:wsp>
                      <wps:cNvSpPr txBox="1"/>
                      <wps:spPr>
                        <a:xfrm>
                          <a:off x="0" y="0"/>
                          <a:ext cx="6480175" cy="1811020"/>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r>
                              <w:br w:type="page"/>
                            </w:r>
                          </w:p>
                          <w:p>
                            <w:pPr>
                              <w:pStyle w:val="TextBody"/>
                              <w:bidi w:val="0"/>
                              <w:spacing w:lineRule="auto" w:line="268" w:before="0" w:after="0"/>
                              <w:jc w:val="left"/>
                              <w:rPr/>
                            </w:pPr>
                            <w:r>
                              <w:rPr>
                                <w:rFonts w:ascii="Myriad Pro Light;sans-serif" w:hAnsi="Myriad Pro Light;sans-serif"/>
                                <w:b w:val="false"/>
                                <w:color w:val="000000"/>
                                <w:sz w:val="10"/>
                              </w:rPr>
                              <w:t xml:space="preserve">1 </w:t>
                            </w:r>
                            <w:r>
                              <w:rPr>
                                <w:rFonts w:ascii="Myriad Pro Light;sans-serif" w:hAnsi="Myriad Pro Light;sans-serif"/>
                                <w:b w:val="false"/>
                                <w:color w:val="000000"/>
                                <w:sz w:val="16"/>
                              </w:rPr>
                              <w:t xml:space="preserve">Separate accounts and other consists of AUM we manage in or through vehicles other than Artisan Funds and Artisan Global Funds. This AUM includes assets we manage in traditional separate accounts, Artisan-branded collective investment trusts and in our own private funds, as well as certain assets managed by the Credit team in custom, investor-driven mandates and assets under advisement for certain strategies for which we provide model portfolios to managed account sponsors. </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Reflects AUM obtained in connection with the closing of the Grandview Property Partners acquisition on January 2, 2026.</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Represents the distribution of realized proceeds from the disposition of assets.</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Reflects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 xml:space="preserve">5 </w:t>
                            </w:r>
                            <w:r>
                              <w:rPr>
                                <w:rFonts w:ascii="Myriad Pro Light;sans-serif" w:hAnsi="Myriad Pro Light;sans-serif"/>
                                <w:b w:val="false"/>
                                <w:color w:val="000000"/>
                                <w:sz w:val="16"/>
                              </w:rPr>
                              <w:t>Net transfers represent certain amounts that we have identified as having been transferred out of one investment strategy, investment vehicle, or account and into another strategy, vehicle, or account.</w:t>
                            </w:r>
                          </w:p>
                          <w:p>
                            <w:pPr>
                              <w:pStyle w:val="TextBody"/>
                              <w:bidi w:val="0"/>
                              <w:spacing w:before="0" w:after="0"/>
                              <w:jc w:val="left"/>
                              <w:rPr/>
                            </w:pPr>
                            <w:r>
                              <w:rPr/>
                            </w:r>
                          </w:p>
                          <w:p>
                            <w:pPr>
                              <w:pStyle w:val="TextBody"/>
                              <w:bidi w:val="0"/>
                              <w:spacing w:lineRule="auto" w:line="276"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2.6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p>
                    <w:p>
                      <w:pPr>
                        <w:pStyle w:val="TextBody"/>
                        <w:bidi w:val="0"/>
                        <w:spacing w:lineRule="auto" w:line="268" w:before="0" w:after="0"/>
                        <w:jc w:val="left"/>
                        <w:rPr/>
                      </w:pPr>
                      <w:r>
                        <w:rPr>
                          <w:rFonts w:ascii="Myriad Pro Light;sans-serif" w:hAnsi="Myriad Pro Light;sans-serif"/>
                          <w:b w:val="false"/>
                          <w:color w:val="000000"/>
                          <w:sz w:val="10"/>
                        </w:rPr>
                        <w:t xml:space="preserve">1 </w:t>
                      </w:r>
                      <w:r>
                        <w:rPr>
                          <w:rFonts w:ascii="Myriad Pro Light;sans-serif" w:hAnsi="Myriad Pro Light;sans-serif"/>
                          <w:b w:val="false"/>
                          <w:color w:val="000000"/>
                          <w:sz w:val="16"/>
                        </w:rPr>
                        <w:t xml:space="preserve">Separate accounts and other consists of AUM we manage in or through vehicles other than Artisan Funds and Artisan Global Funds. This AUM includes assets we manage in traditional separate accounts, Artisan-branded collective investment trusts and in our own private funds, as well as certain assets managed by the Credit team in custom, investor-driven mandates and assets under advisement for certain strategies for which we provide model portfolios to managed account sponsors. </w:t>
                      </w:r>
                    </w:p>
                    <w:p>
                      <w:pPr>
                        <w:pStyle w:val="TextBody"/>
                        <w:bidi w:val="0"/>
                        <w:spacing w:lineRule="auto" w:line="276"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Reflects AUM obtained in connection with the closing of the Grandview Property Partners acquisition on January 2, 2026.</w:t>
                      </w:r>
                    </w:p>
                    <w:p>
                      <w:pPr>
                        <w:pStyle w:val="TextBody"/>
                        <w:bidi w:val="0"/>
                        <w:spacing w:lineRule="auto" w:line="276"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rPr>
                        <w:t>Represents the distribution of realized proceeds from the disposition of assets.</w:t>
                      </w:r>
                    </w:p>
                    <w:p>
                      <w:pPr>
                        <w:pStyle w:val="TextBody"/>
                        <w:bidi w:val="0"/>
                        <w:spacing w:lineRule="auto" w:line="276"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rPr>
                        <w:t>Reflects the amount of income and capital gain distributions that were not reinvested in the Artisan Funds.</w:t>
                      </w:r>
                    </w:p>
                    <w:p>
                      <w:pPr>
                        <w:pStyle w:val="TextBody"/>
                        <w:bidi w:val="0"/>
                        <w:spacing w:lineRule="auto" w:line="276" w:before="0" w:after="0"/>
                        <w:jc w:val="left"/>
                        <w:rPr/>
                      </w:pPr>
                      <w:r>
                        <w:rPr>
                          <w:rFonts w:ascii="Myriad Pro Light;sans-serif" w:hAnsi="Myriad Pro Light;sans-serif"/>
                          <w:b w:val="false"/>
                          <w:color w:val="000000"/>
                          <w:sz w:val="10"/>
                        </w:rPr>
                        <w:t xml:space="preserve">5 </w:t>
                      </w:r>
                      <w:r>
                        <w:rPr>
                          <w:rFonts w:ascii="Myriad Pro Light;sans-serif" w:hAnsi="Myriad Pro Light;sans-serif"/>
                          <w:b w:val="false"/>
                          <w:color w:val="000000"/>
                          <w:sz w:val="16"/>
                        </w:rPr>
                        <w:t>Net transfers represent certain amounts that we have identified as having been transferred out of one investment strategy, investment vehicle, or account and into another strategy, vehicle, or account.</w:t>
                      </w:r>
                    </w:p>
                    <w:p>
                      <w:pPr>
                        <w:pStyle w:val="TextBody"/>
                        <w:bidi w:val="0"/>
                        <w:spacing w:before="0" w:after="0"/>
                        <w:jc w:val="left"/>
                        <w:rPr/>
                      </w:pPr>
                      <w:r>
                        <w:rPr/>
                      </w:r>
                    </w:p>
                    <w:p>
                      <w:pPr>
                        <w:pStyle w:val="TextBody"/>
                        <w:bidi w:val="0"/>
                        <w:spacing w:lineRule="auto" w:line="276"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Myriad Pro;sans-serif" w:hAnsi="Myriad Pro;sans-serif"/>
          <w:b w:val="false"/>
          <w:color w:val="000000"/>
          <w:sz w:val="16"/>
        </w:rPr>
      </w:pPr>
      <w:r>
        <w:rPr>
          <w:rFonts w:ascii="Myriad Pro;sans-serif" w:hAnsi="Myriad Pro;sans-serif"/>
          <w:b w:val="false"/>
          <w:color w:val="000000"/>
          <w:sz w:val="16"/>
        </w:rPr>
        <w:t>Artisan Partners Asset Management Inc.</w:t>
      </w:r>
    </w:p>
    <w:p>
      <w:pPr>
        <w:pStyle w:val="TextBody"/>
        <w:bidi w:val="0"/>
        <w:spacing w:lineRule="auto" w:line="288" w:before="0" w:after="0"/>
        <w:jc w:val="center"/>
        <w:rPr/>
      </w:pPr>
      <w:r>
        <w:rPr>
          <w:rFonts w:ascii="Myriad Pro;sans-serif" w:hAnsi="Myriad Pro;sans-serif"/>
          <w:b w:val="false"/>
          <w:color w:val="000000"/>
          <w:sz w:val="16"/>
        </w:rPr>
        <w:t xml:space="preserve">Investment Strategy AUM and Gross Composite Performance </w:t>
      </w:r>
      <w:r>
        <w:rPr>
          <w:rFonts w:ascii="Myriad Pro;sans-serif" w:hAnsi="Myriad Pro;sans-serif"/>
          <w:b w:val="false"/>
          <w:color w:val="000000"/>
          <w:sz w:val="10"/>
        </w:rPr>
        <w:t>1</w:t>
      </w:r>
    </w:p>
    <w:p>
      <w:pPr>
        <w:pStyle w:val="TextBody"/>
        <w:bidi w:val="0"/>
        <w:spacing w:lineRule="auto" w:line="288" w:before="0" w:after="0"/>
        <w:jc w:val="center"/>
        <w:rPr>
          <w:rFonts w:ascii="Myriad Pro;sans-serif" w:hAnsi="Myriad Pro;sans-serif"/>
          <w:b w:val="false"/>
          <w:color w:val="000000"/>
          <w:sz w:val="16"/>
        </w:rPr>
      </w:pPr>
      <w:r>
        <w:rPr>
          <w:rFonts w:ascii="Myriad Pro;sans-serif" w:hAnsi="Myriad Pro;sans-serif"/>
          <w:b w:val="false"/>
          <w:color w:val="000000"/>
          <w:sz w:val="16"/>
        </w:rPr>
        <w:t xml:space="preserve">As of June 30, 2026 </w:t>
      </w:r>
    </w:p>
    <w:p>
      <w:pPr>
        <w:pStyle w:val="TextBody"/>
        <w:bidi w:val="0"/>
        <w:spacing w:lineRule="auto" w:line="288" w:before="0" w:after="0"/>
        <w:jc w:val="center"/>
        <w:rPr>
          <w:rFonts w:ascii="Myriad Pro;sans-serif" w:hAnsi="Myriad Pro;sans-serif"/>
          <w:b w:val="false"/>
          <w:color w:val="000000"/>
          <w:sz w:val="16"/>
        </w:rPr>
      </w:pPr>
      <w:r>
        <w:rPr>
          <w:rFonts w:ascii="Myriad Pro;sans-serif" w:hAnsi="Myriad Pro;sans-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897"/>
        <w:gridCol w:w="649"/>
        <w:gridCol w:w="653"/>
        <w:gridCol w:w="413"/>
        <w:gridCol w:w="413"/>
        <w:gridCol w:w="414"/>
        <w:gridCol w:w="109"/>
        <w:gridCol w:w="109"/>
        <w:gridCol w:w="109"/>
        <w:gridCol w:w="249"/>
        <w:gridCol w:w="852"/>
        <w:gridCol w:w="128"/>
        <w:gridCol w:w="109"/>
        <w:gridCol w:w="109"/>
        <w:gridCol w:w="109"/>
        <w:gridCol w:w="204"/>
        <w:gridCol w:w="204"/>
        <w:gridCol w:w="190"/>
        <w:gridCol w:w="204"/>
        <w:gridCol w:w="204"/>
        <w:gridCol w:w="190"/>
        <w:gridCol w:w="211"/>
        <w:gridCol w:w="211"/>
        <w:gridCol w:w="176"/>
        <w:gridCol w:w="204"/>
        <w:gridCol w:w="204"/>
        <w:gridCol w:w="190"/>
        <w:gridCol w:w="290"/>
        <w:gridCol w:w="290"/>
        <w:gridCol w:w="291"/>
        <w:gridCol w:w="109"/>
        <w:gridCol w:w="109"/>
        <w:gridCol w:w="109"/>
        <w:gridCol w:w="374"/>
        <w:gridCol w:w="374"/>
        <w:gridCol w:w="545"/>
      </w:tblGrid>
      <w:tr>
        <w:trPr/>
        <w:tc>
          <w:tcPr>
            <w:tcW w:w="89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Composite Inception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Myriad Pro;sans-serif" w:hAnsi="Myriad Pro;sans-serif"/>
                <w:b w:val="false"/>
                <w:color w:val="000000"/>
                <w:sz w:val="16"/>
              </w:rPr>
            </w:pPr>
            <w:r>
              <w:rPr>
                <w:rFonts w:ascii="Myriad Pro;sans-serif" w:hAnsi="Myriad Pro;sans-serif"/>
                <w:b w:val="false"/>
                <w:color w:val="000000"/>
                <w:sz w:val="16"/>
              </w:rPr>
              <w:t>Average Annual</w:t>
            </w:r>
          </w:p>
          <w:p>
            <w:pPr>
              <w:pStyle w:val="TableContents"/>
              <w:bidi w:val="0"/>
              <w:spacing w:lineRule="auto" w:line="240" w:before="0" w:after="0"/>
              <w:jc w:val="center"/>
              <w:rPr/>
            </w:pPr>
            <w:r>
              <w:rPr>
                <w:rFonts w:ascii="Myriad Pro;sans-serif" w:hAnsi="Myriad Pro;sans-serif"/>
                <w:b w:val="false"/>
                <w:color w:val="000000"/>
                <w:sz w:val="16"/>
              </w:rPr>
              <w:t xml:space="preserve">Value-Added </w:t>
            </w:r>
            <w:r>
              <w:rPr>
                <w:rFonts w:ascii="Myriad Pro;sans-serif" w:hAnsi="Myriad Pro;sans-serif"/>
                <w:b w:val="false"/>
                <w:color w:val="000000"/>
                <w:sz w:val="10"/>
              </w:rPr>
              <w:t>3</w:t>
            </w:r>
          </w:p>
          <w:p>
            <w:pPr>
              <w:pStyle w:val="TableContents"/>
              <w:bidi w:val="0"/>
              <w:spacing w:lineRule="auto" w:line="240" w:before="0" w:after="0"/>
              <w:jc w:val="center"/>
              <w:rPr>
                <w:rFonts w:ascii="Myriad Pro;sans-serif" w:hAnsi="Myriad Pro;sans-serif"/>
                <w:b w:val="false"/>
                <w:color w:val="000000"/>
                <w:sz w:val="16"/>
              </w:rPr>
            </w:pPr>
            <w:r>
              <w:rPr>
                <w:rFonts w:ascii="Myriad Pro;sans-serif" w:hAnsi="Myriad Pro;sans-serif"/>
                <w:b w:val="false"/>
                <w:color w:val="000000"/>
                <w:sz w:val="16"/>
              </w:rPr>
              <w:t>Since Inception</w:t>
            </w:r>
          </w:p>
          <w:p>
            <w:pPr>
              <w:pStyle w:val="TableContents"/>
              <w:bidi w:val="0"/>
              <w:spacing w:lineRule="auto" w:line="240" w:before="0" w:after="0"/>
              <w:jc w:val="center"/>
              <w:rPr>
                <w:rFonts w:ascii="Myriad Pro;sans-serif" w:hAnsi="Myriad Pro;sans-serif"/>
                <w:b w:val="false"/>
                <w:color w:val="000000"/>
                <w:sz w:val="16"/>
              </w:rPr>
            </w:pPr>
            <w:r>
              <w:rPr>
                <w:rFonts w:ascii="Myriad Pro;sans-serif" w:hAnsi="Myriad Pro;sans-serif"/>
                <w:b w:val="false"/>
                <w:color w:val="000000"/>
                <w:sz w:val="16"/>
              </w:rPr>
              <w:t>(bps)</w:t>
            </w:r>
          </w:p>
        </w:tc>
      </w:tr>
      <w:tr>
        <w:trPr/>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Myriad Pro;sans-serif" w:hAnsi="Myriad Pro;sans-serif"/>
                <w:b w:val="false"/>
                <w:color w:val="000000"/>
                <w:sz w:val="16"/>
              </w:rPr>
              <w:t>Strategy AUM (in $MM)</w:t>
            </w:r>
            <w:r>
              <w:rPr>
                <w:rFonts w:ascii="Myriad Pro;sans-serif" w:hAnsi="Myriad Pro;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Average Annual Total Returns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Investment Team and Strategy</w:t>
            </w:r>
          </w:p>
        </w:tc>
        <w:tc>
          <w:tcPr>
            <w:tcW w:w="124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1 YR</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3 YR</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5 YR</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10 YR</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sans-serif" w:hAnsi="Myriad Pro;sans-serif"/>
                <w:b w:val="false"/>
                <w:color w:val="000000"/>
                <w:sz w:val="16"/>
              </w:rPr>
            </w:pPr>
            <w:r>
              <w:rPr>
                <w:rFonts w:ascii="Myriad Pro;sans-serif" w:hAnsi="Myriad Pro;sans-serif"/>
                <w:b w:val="false"/>
                <w:color w:val="000000"/>
                <w:sz w:val="16"/>
              </w:rPr>
              <w:t>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Growth Team</w:t>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Opportunities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2/1/2007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13,441 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11.23%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14.02%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5.37%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13.21%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323</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23.67%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19.68%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10.98%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12.78%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Discovery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9/1/2017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1,885 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18.04%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16.81%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6.24%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486</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Small Mid Cap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23.24%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16.58%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7.22%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U.S. Mid-Cap Growth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4/1/1997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10,359 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21.83%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16.06%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3.97%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13.55%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449</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Midcap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21.63%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16.50%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8.49%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11.99%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Midcap Growth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6.17%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15.59%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6.02%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13.04%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U.S. Small-Cap Growth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4/1/1995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2,981 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39.55%</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16.74%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2.89%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13.91%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261</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2000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40.78%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18.58%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6.98%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11.62%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2000 Growth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38.74%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18.42%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5.56%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11.96%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Franchise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1,112 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6.18%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(802)</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23.67%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Global Equity Team</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Equity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4/1/2010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420 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22.67%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27.67%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11.49%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15.50%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352</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23.67%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19.68%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10.98%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12.78%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Non-U.S. Growth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1/1/1996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16,465 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22.38%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22.62%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11.22%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11.46%</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463</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EAFE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20.23%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16.42%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9.04%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9.65%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U.S. Value Team</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Value Equity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473 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11.32%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13.87%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10.35%</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12.58%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95</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1000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22.01%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20.44%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12.65%</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15.29%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1000 Value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27.09%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17.76%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11.16%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11.51%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U.S. Mid-Cap Value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1,298 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8.58%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7.40%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5.00%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8.60%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142</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i/>
                <w:color w:val="000000"/>
                <w:sz w:val="16"/>
              </w:rPr>
              <w:t>Russell</w:t>
            </w:r>
            <w:r>
              <w:rPr>
                <w:rFonts w:ascii="Myriad Pro Light;sans-serif" w:hAnsi="Myriad Pro Light;sans-serif"/>
                <w:b w:val="false"/>
                <w:i/>
                <w:color w:val="000000"/>
                <w:sz w:val="10"/>
              </w:rPr>
              <w:t>®</w:t>
            </w:r>
            <w:r>
              <w:rPr>
                <w:color w:val="000000"/>
              </w:rPr>
              <w:t xml:space="preserve"> </w:t>
            </w:r>
            <w:r>
              <w:rPr>
                <w:rFonts w:ascii="Myriad Pro Light;sans-serif" w:hAnsi="Myriad Pro Light;sans-serif"/>
                <w:b w:val="false"/>
                <w:i/>
                <w:color w:val="000000"/>
                <w:sz w:val="16"/>
              </w:rPr>
              <w:t>Midcap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21.63%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16.50%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8.49%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11.99%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Russell® Midcap Value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26.62%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16.49%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9.47%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10.62%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Value Income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14.36%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12.71%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(713)</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S&amp;P 500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22.33%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20.59%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14.89%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International Value Group</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International Value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57,099 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24.61%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17.59%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12.36%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12.64%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519</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EAFE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20.23%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16.42%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9.04%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9.65%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International Explorer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1,230 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21.86%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18.78%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10.76%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17.43%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590</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 Ex USA Small Cap</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19.83%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16.40%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6.30%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Special Situations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15.57%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636</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ICE BofA Global High Yield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5.43%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Global Value Team</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Value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38,967 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25.16%</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22.19%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13.47%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13.42%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287</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23.67%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19.68%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10.98%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12.78%</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Select Equity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1,068 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29.17%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22.97%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13.21%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16.60%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(98)</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S&amp;P 500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22.33%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20.59%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13.40%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17.58%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Sustainable Emerging Markets Team</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Sustainable Emerging Markets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3,508 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38.12%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23.63%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7.58%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11.69%</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86</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Emerging Markets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43.51%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23.00%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7.19%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10.07%</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Credit Team</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High Income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14,288 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5.40%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9.74%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5.61%</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7.55%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221</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ICE BofA US High Yield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5.74%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8.78%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4.13%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5.70%</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Credit Opportunities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8.32%</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15.28%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11.48%</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1,037</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ICE BofA US Dollar 3-Month Deposit Offered Rate Constant Maturity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4.07%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4.83%</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3.60%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Floating Rate Strategy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290 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6.00%</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8.64%</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91</w:t>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S&amp;P UBS Leveraged Loan Index</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4.29%</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7.57%</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16"/>
              </w:rPr>
              <w:t xml:space="preserve">Custom Credit Solutions </w:t>
            </w:r>
            <w:r>
              <w:rPr>
                <w:rFonts w:ascii="Myriad Pro Light;sans-serif" w:hAnsi="Myriad Pro Light;sans-serif"/>
                <w:b w:val="false"/>
                <w:color w:val="000000"/>
                <w:sz w:val="10"/>
              </w:rPr>
              <w:t>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1,515 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r>
      <w:tr>
        <w:trPr/>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05"/>
        <w:gridCol w:w="1063"/>
        <w:gridCol w:w="1069"/>
        <w:gridCol w:w="268"/>
        <w:gridCol w:w="268"/>
        <w:gridCol w:w="270"/>
        <w:gridCol w:w="109"/>
        <w:gridCol w:w="109"/>
        <w:gridCol w:w="109"/>
        <w:gridCol w:w="211"/>
        <w:gridCol w:w="826"/>
        <w:gridCol w:w="109"/>
        <w:gridCol w:w="109"/>
        <w:gridCol w:w="109"/>
        <w:gridCol w:w="109"/>
        <w:gridCol w:w="235"/>
        <w:gridCol w:w="219"/>
        <w:gridCol w:w="221"/>
        <w:gridCol w:w="221"/>
        <w:gridCol w:w="221"/>
        <w:gridCol w:w="223"/>
        <w:gridCol w:w="235"/>
        <w:gridCol w:w="219"/>
        <w:gridCol w:w="221"/>
        <w:gridCol w:w="221"/>
        <w:gridCol w:w="221"/>
        <w:gridCol w:w="223"/>
        <w:gridCol w:w="221"/>
        <w:gridCol w:w="221"/>
        <w:gridCol w:w="223"/>
        <w:gridCol w:w="109"/>
        <w:gridCol w:w="109"/>
        <w:gridCol w:w="109"/>
        <w:gridCol w:w="138"/>
        <w:gridCol w:w="138"/>
        <w:gridCol w:w="214"/>
      </w:tblGrid>
      <w:tr>
        <w:trPr/>
        <w:tc>
          <w:tcPr>
            <w:tcW w:w="130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Developing World Team</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Developing World Strategy</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7/1/2015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3,292 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(8.87)%</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13.14%</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(1.69)%</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12.18%</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274</w:t>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Emerging Markets Index</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43.51%</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23.00%</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7.19%</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10.07%</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Antero Peak Group</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Antero Peak Strategy</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20.58%</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25.33%</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13.91%</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473</w:t>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S&amp;P 500 Index</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22.33%</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20.59%</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13.40%</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Antero Peak Hedge Strategy</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16.89%</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22.45%</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11.82%</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14.86%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w:t>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S&amp;P 500 Index</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22.33%</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20.59%</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13.40%</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14.98%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International Small-Mid Team</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Non-U.S. Small-Mid Growth Strategy</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10.60%</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9.67%</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1.81%</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58</w:t>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MSCI All Country World Index Ex USA Small Mid Cap</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20.64%</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17.08%</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6.72%</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000000"/>
                <w:sz w:val="16"/>
              </w:rPr>
            </w:pPr>
            <w:r>
              <w:rPr>
                <w:rFonts w:ascii="Myriad Pro;sans-serif" w:hAnsi="Myriad Pro;sans-serif"/>
                <w:b w:val="false"/>
                <w:color w:val="000000"/>
                <w:sz w:val="16"/>
              </w:rPr>
              <w:t>EMsights Capital Group</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Global Unconstrained Strategy</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4/1/2022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12.43%</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10.86%</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693</w:t>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ICE BofA 3-month Treasury Bill Index</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3.84%</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4.63%</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Emerging Markets Debt Opportunities Strategy</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5/1/2022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16.00%</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13.27%</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669</w:t>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J.P. Morgan EMB Hard Currency/Local Currency 50-50</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8.59%</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8.26%</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Emerging Markets Local Opportunities Strategy</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13.99%</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10.95%</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12.55%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414</w:t>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i/>
                <w:color w:val="000000"/>
                <w:sz w:val="16"/>
              </w:rPr>
            </w:pPr>
            <w:r>
              <w:rPr>
                <w:rFonts w:ascii="Myriad Pro Light;sans-serif" w:hAnsi="Myriad Pro Light;sans-serif"/>
                <w:b w:val="false"/>
                <w:i/>
                <w:color w:val="000000"/>
                <w:sz w:val="16"/>
              </w:rPr>
              <w:t>J.P. Morgan GBI-EM Global Diversified Index</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7.85%</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7.30%</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i/>
                <w:color w:val="000000"/>
                <w:sz w:val="16"/>
              </w:rPr>
            </w:pPr>
            <w:r>
              <w:rPr>
                <w:rFonts w:ascii="Myriad Pro Light;sans-serif" w:hAnsi="Myriad Pro Light;sans-serif"/>
                <w:b w:val="false"/>
                <w:i/>
                <w:color w:val="000000"/>
                <w:sz w:val="16"/>
              </w:rPr>
              <w:t>8.41%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000000"/>
                <w:sz w:val="16"/>
              </w:rPr>
              <w:t xml:space="preserve">Grandview Property Partners </w:t>
            </w:r>
            <w:r>
              <w:rPr>
                <w:rFonts w:ascii="Myriad Pro;sans-serif" w:hAnsi="Myriad Pro;sans-serif"/>
                <w:b w:val="false"/>
                <w:color w:val="000000"/>
                <w:sz w:val="10"/>
              </w:rPr>
              <w:t>5</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Grandview Property Partners</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w:t>
            </w:r>
          </w:p>
        </w:tc>
      </w:tr>
      <w:tr>
        <w:trPr/>
        <w:tc>
          <w:tcPr>
            <w:tcW w:w="3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Total Assets Under Management</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16"/>
              </w:rPr>
            </w:pPr>
            <w:r>
              <w:rPr>
                <w:rFonts w:ascii="Myriad Pro Light;sans-serif" w:hAnsi="Myriad Pro Light;sans-serif"/>
                <w:b w:val="false"/>
                <w:color w:val="000000"/>
                <w:sz w:val="16"/>
              </w:rPr>
              <w:t>183,389 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______________________________________</w:t>
      </w:r>
    </w:p>
    <w:p>
      <w:pPr>
        <w:pStyle w:val="TextBody"/>
        <w:bidi w:val="0"/>
        <w:spacing w:lineRule="auto" w:line="288"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We measure the results of our “composites”, which represent the aggregate performance of all discretionary client accounts, including pooled investment vehicles, invested in the same strategy except those accounts with respect to which we believe client-imposed restrictions may have a material impact on portfolio construction and those accounts managed in a currency other than U.S. dollars (the results of these accounts, which represented approximately 19% of our assets under management at June 30, 2026, are maintained in separate composites, which are not presented in these materials). Returns for periods less than one year are not annualized.</w:t>
      </w:r>
    </w:p>
    <w:p>
      <w:pPr>
        <w:pStyle w:val="TextBody"/>
        <w:bidi w:val="0"/>
        <w:spacing w:lineRule="auto" w:line="288"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rPr>
        <w:t>AUM for Artisan Sustainable Emerging Markets, U.S. Mid-Cap Growth, Value Equity and Global Value strategies includes $381.8 million in aggregate for which Artisan Partners provides investment models to managed account sponsors (generally reported on a lag not exceeding one quarter).</w:t>
      </w:r>
    </w:p>
    <w:p>
      <w:pPr>
        <w:pStyle w:val="TextBody"/>
        <w:bidi w:val="0"/>
        <w:spacing w:lineRule="auto" w:line="288" w:before="0" w:after="0"/>
        <w:jc w:val="left"/>
        <w:rPr/>
      </w:pPr>
      <w:r>
        <w:rPr>
          <w:rFonts w:ascii="Myriad Pro Light;sans-serif" w:hAnsi="Myriad Pro Light;sans-serif"/>
          <w:b w:val="false"/>
          <w:color w:val="000000"/>
          <w:sz w:val="10"/>
        </w:rPr>
        <w:t xml:space="preserve">3 </w:t>
      </w:r>
      <w:r>
        <w:rPr>
          <w:rFonts w:ascii="Myriad Pro Light;sans-serif" w:hAnsi="Myriad Pro Light;sans-serif"/>
          <w:b w:val="false"/>
          <w:color w:val="000000"/>
          <w:sz w:val="16"/>
        </w:rPr>
        <w:t>Value-added is the amount, in basis points, by which the average annual gross composite return of each of our strategies has outperformed or underperformed its</w:t>
      </w:r>
    </w:p>
    <w:p>
      <w:pPr>
        <w:pStyle w:val="TextBody"/>
        <w:bidi w:val="0"/>
        <w:spacing w:lineRule="auto" w:line="288" w:before="0" w:after="0"/>
        <w:jc w:val="left"/>
        <w:rPr>
          <w:rFonts w:ascii="Myriad Pro Light;sans-serif" w:hAnsi="Myriad Pro Light;sans-serif"/>
          <w:b w:val="false"/>
          <w:color w:val="000000"/>
          <w:sz w:val="16"/>
        </w:rPr>
      </w:pPr>
      <w:r>
        <w:rPr>
          <w:rFonts w:ascii="Myriad Pro Light;sans-serif" w:hAnsi="Myriad Pro Light;sans-serif"/>
          <w:b w:val="false"/>
          <w:color w:val="000000"/>
          <w:sz w:val="16"/>
        </w:rPr>
        <w:t>respective benchmark. See Forward-Looking Statements and Other Disclosures for further information on the benchmark indexes used. Value-added for periods less than</w:t>
      </w:r>
    </w:p>
    <w:p>
      <w:pPr>
        <w:pStyle w:val="TextBody"/>
        <w:bidi w:val="0"/>
        <w:spacing w:lineRule="auto" w:line="288" w:before="0" w:after="0"/>
        <w:jc w:val="left"/>
        <w:rPr>
          <w:rFonts w:ascii="Myriad Pro Light;sans-serif" w:hAnsi="Myriad Pro Light;sans-serif"/>
          <w:b w:val="false"/>
          <w:color w:val="000000"/>
          <w:sz w:val="16"/>
        </w:rPr>
      </w:pPr>
      <w:r>
        <w:rPr>
          <w:rFonts w:ascii="Myriad Pro Light;sans-serif" w:hAnsi="Myriad Pro Light;sans-serif"/>
          <w:b w:val="false"/>
          <w:color w:val="000000"/>
          <w:sz w:val="16"/>
        </w:rPr>
        <w:t>one year is not annualized.</w:t>
      </w:r>
    </w:p>
    <w:p>
      <w:pPr>
        <w:pStyle w:val="TextBody"/>
        <w:bidi w:val="0"/>
        <w:spacing w:lineRule="auto" w:line="288" w:before="0" w:after="0"/>
        <w:jc w:val="left"/>
        <w:rPr/>
      </w:pPr>
      <w:r>
        <w:rPr>
          <w:rFonts w:ascii="Myriad Pro Light;sans-serif" w:hAnsi="Myriad Pro Light;sans-serif"/>
          <w:b w:val="false"/>
          <w:color w:val="000000"/>
          <w:sz w:val="10"/>
        </w:rPr>
        <w:t xml:space="preserve">4 </w:t>
      </w:r>
      <w:r>
        <w:rPr>
          <w:rFonts w:ascii="Myriad Pro Light;sans-serif" w:hAnsi="Myriad Pro Light;sans-serif"/>
          <w:b w:val="false"/>
          <w:color w:val="000000"/>
          <w:sz w:val="16"/>
        </w:rPr>
        <w:t>Custom Credit Solutions represents assets managed by the Credit team within custom, investor-driven mandates for which there is no combined performance track record. A portion of these assets under management was previously reported under the High Income strategy.</w:t>
      </w:r>
    </w:p>
    <w:p>
      <w:pPr>
        <w:pStyle w:val="TextBody"/>
        <w:bidi w:val="0"/>
        <w:spacing w:lineRule="auto" w:line="288"/>
        <w:jc w:val="left"/>
        <w:rPr/>
      </w:pPr>
      <w:r>
        <w:rPr>
          <w:rFonts w:ascii="Myriad Pro Light;sans-serif" w:hAnsi="Myriad Pro Light;sans-serif"/>
          <w:b w:val="false"/>
          <w:color w:val="000000"/>
          <w:sz w:val="10"/>
        </w:rPr>
        <w:t>5</w:t>
      </w:r>
      <w:r>
        <w:rPr>
          <w:color w:val="000000"/>
        </w:rPr>
        <w:t xml:space="preserve"> </w:t>
      </w:r>
      <w:r>
        <w:rPr>
          <w:rFonts w:ascii="Myriad Pro Light;sans-serif" w:hAnsi="Myriad Pro Light;sans-serif"/>
          <w:b w:val="false"/>
          <w:color w:val="000000"/>
          <w:sz w:val="16"/>
        </w:rPr>
        <w:t>Grandview Property Partners' AUM reflects assets managed across Grandview's flagship fund and co-investment program. Performance information for the Grandview Funds is not reported.</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yriad Pro">
    <w:altName w:val="sans-serif"/>
    <w:charset w:val="01"/>
    <w:family w:val="auto"/>
    <w:pitch w:val="default"/>
  </w:font>
  <w:font w:name="Myriad Pr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8137</Words>
  <Characters>44866</Characters>
  <CharactersWithSpaces>51676</CharactersWithSpaces>
  <Paragraphs>2571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