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4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April 28,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Artisan Partners Asset Management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573" w:type="dxa"/>
        <w:jc w:val="center"/>
        <w:tblInd w:w="0" w:type="dxa"/>
        <w:tblLayout w:type="fixed"/>
        <w:tblCellMar>
          <w:top w:w="28" w:type="dxa"/>
          <w:left w:w="28" w:type="dxa"/>
          <w:bottom w:w="28" w:type="dxa"/>
          <w:right w:w="28" w:type="dxa"/>
        </w:tblCellMar>
      </w:tblPr>
      <w:tblGrid>
        <w:gridCol w:w="844"/>
        <w:gridCol w:w="745"/>
        <w:gridCol w:w="750"/>
        <w:gridCol w:w="1260"/>
        <w:gridCol w:w="1260"/>
        <w:gridCol w:w="127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875 E. Wisconsin Avenue, Suite 800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Milwaukee, WI 53202</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5" w:after="283"/>
        <w:jc w:val="left"/>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(414) 390-6100</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73" w:type="dxa"/>
        <w:jc w:val="left"/>
        <w:tblInd w:w="0" w:type="dxa"/>
        <w:tblLayout w:type="fixed"/>
        <w:tblCellMar>
          <w:top w:w="28" w:type="dxa"/>
          <w:left w:w="28" w:type="dxa"/>
          <w:bottom w:w="28" w:type="dxa"/>
          <w:right w:w="28" w:type="dxa"/>
        </w:tblCellMar>
      </w:tblPr>
      <w:tblGrid>
        <w:gridCol w:w="1314"/>
        <w:gridCol w:w="1158"/>
        <w:gridCol w:w="1173"/>
        <w:gridCol w:w="419"/>
        <w:gridCol w:w="419"/>
        <w:gridCol w:w="421"/>
        <w:gridCol w:w="956"/>
        <w:gridCol w:w="956"/>
        <w:gridCol w:w="1357"/>
      </w:tblGrid>
      <w:tr>
        <w:trPr/>
        <w:tc>
          <w:tcPr>
            <w:tcW w:w="13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APAM</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28, 2026, Artisan Partners Asset Management Inc. (the “Company”) issued a press release announcing the availability of certain consolidated financial and operating results for the three months ended March 31, 2026. Copies of the press release and the full earnings release are attached hereto as Exhibit 99.1 and 99.2, respectively, and are incorporated herein by reference.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including the exhibits incorporated herein by reference, shall not be deemed “filed” for purposes of Section 18 of the Securities Exchange Act of 1934, as amended, or otherwise subject to the liabilities of that section, nor shall it be deemed incorporated by reference in any filing of the Company under the Securities Act of 1933, as amended, or the Securities Exchange Act of 1934, as amended, whether made before or after the date hereof, except as expressly set forth by specific reference in such a filing.</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54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68"/>
        <w:gridCol w:w="1968"/>
        <w:gridCol w:w="279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rtisan1q26pressrelease.htm">
              <w:r>
                <w:rPr>
                  <w:rStyle w:val="InternetLink"/>
                  <w:rFonts w:ascii="Times New Roman;serif" w:hAnsi="Times New Roman;serif"/>
                  <w:b w:val="false"/>
                  <w:color w:val="0000FF"/>
                  <w:sz w:val="20"/>
                  <w:u w:val="single"/>
                </w:rPr>
                <w:t>Press Release of Artisan Partners Asset Management Inc. dated April 28,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tisan1q26earningsrelease.htm">
              <w:r>
                <w:rPr>
                  <w:rStyle w:val="InternetLink"/>
                  <w:rFonts w:ascii="Times New Roman;serif" w:hAnsi="Times New Roman;serif"/>
                  <w:b w:val="false"/>
                  <w:color w:val="0000FF"/>
                  <w:sz w:val="20"/>
                  <w:u w:val="single"/>
                </w:rPr>
                <w:t>Earnings Release of Artisan Partners Asset Management Inc. dated April 28,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bl>
      <w:tblPr>
        <w:tblW w:w="6252" w:type="dxa"/>
        <w:jc w:val="center"/>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00800" cy="800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00800" cy="8001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Myriad Pro;sans-serif" w:hAnsi="Myriad Pro;sans-serif"/>
          <w:b w:val="false"/>
          <w:color w:val="000000"/>
          <w:sz w:val="28"/>
        </w:rPr>
      </w:pPr>
      <w:r>
        <w:rPr>
          <w:rFonts w:ascii="Myriad Pro;sans-serif" w:hAnsi="Myriad Pro;sans-serif"/>
          <w:b w:val="false"/>
          <w:color w:val="000000"/>
          <w:sz w:val="28"/>
        </w:rPr>
        <w:t>Artisan Partners Asset Management Inc. Reports 1Q26 Results and Quarterly Dividend</w:t>
      </w:r>
    </w:p>
    <w:p>
      <w:pPr>
        <w:pStyle w:val="TextBody"/>
        <w:bidi w:val="0"/>
        <w:spacing w:lineRule="auto" w:line="288" w:before="120" w:after="120"/>
        <w:jc w:val="left"/>
        <w:rPr/>
      </w:pPr>
      <w:r>
        <w:rPr>
          <w:rFonts w:ascii="Myriad Pro Light;sans-serif" w:hAnsi="Myriad Pro Light;sans-serif"/>
          <w:b w:val="false"/>
          <w:color w:val="000000"/>
          <w:sz w:val="20"/>
        </w:rPr>
        <w:t>Milwaukee, WI - April 28, 2026 - Artisan Partners Asset Management Inc. (NYSE: APAM) (the “Company” or “Artisan Partners”) today reported its results for the quarter ended March 31, 2026, and declared a quarterly dividend. The full March 2026 quarter earnings release and investor presentation can be viewed at </w:t>
      </w:r>
      <w:r>
        <w:rPr>
          <w:rFonts w:ascii="Myriad Pro Light;sans-serif" w:hAnsi="Myriad Pro Light;sans-serif"/>
          <w:b w:val="false"/>
          <w:color w:val="000000"/>
          <w:sz w:val="20"/>
          <w:u w:val="single"/>
        </w:rPr>
        <w:t>www.apam.com</w:t>
      </w:r>
      <w:r>
        <w:rPr>
          <w:rFonts w:ascii="Myriad Pro Light;sans-serif" w:hAnsi="Myriad Pro Light;sans-serif"/>
          <w:b w:val="false"/>
          <w:color w:val="000000"/>
          <w:sz w:val="20"/>
        </w:rPr>
        <w:t xml:space="preserve">. </w:t>
      </w:r>
    </w:p>
    <w:p>
      <w:pPr>
        <w:pStyle w:val="TextBody"/>
        <w:bidi w:val="0"/>
        <w:spacing w:lineRule="auto" w:line="288" w:before="120" w:after="120"/>
        <w:jc w:val="left"/>
        <w:rPr>
          <w:rFonts w:ascii="Myriad Pro;sans-serif" w:hAnsi="Myriad Pro;sans-serif"/>
          <w:b w:val="false"/>
          <w:color w:val="000000"/>
          <w:sz w:val="20"/>
        </w:rPr>
      </w:pPr>
      <w:r>
        <w:rPr>
          <w:rFonts w:ascii="Myriad Pro;sans-serif" w:hAnsi="Myriad Pro;sans-serif"/>
          <w:b w:val="false"/>
          <w:color w:val="000000"/>
          <w:sz w:val="20"/>
        </w:rPr>
        <w:t xml:space="preserve">Conference Call </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 will host a conference call on April 29, 2026, at 11:00 a.m. (Eastern Time) to discuss its results for the three months ended March 31, 2026. Hosting the call will be Jason Gottlieb, Chief Executive Officer and President, and C.J. Daley, Chief Financial Officer. Supplemental materials that will be reviewed during the call are available on the Company’s website at www.apam.com. The call will be webcast and can be accessed via the Company’s website. Listeners may also access the call by dialing 877.328.5507 or 412.317.5423 for international callers; the conference ID is 10207226. A replay of the call will be available until May 6, 2026, at 9:00 a.m. (Eastern Time), by dialing 855.669.9658 or 412.317.0088 for international callers; the replay conference ID is 4787506. An audio recording will also be available on the Company’s website.</w:t>
      </w:r>
    </w:p>
    <w:p>
      <w:pPr>
        <w:pStyle w:val="TextBody"/>
        <w:bidi w:val="0"/>
        <w:spacing w:lineRule="auto" w:line="288" w:before="120" w:after="120"/>
        <w:jc w:val="left"/>
        <w:rPr>
          <w:rFonts w:ascii="Myriad Pro;sans-serif" w:hAnsi="Myriad Pro;sans-serif"/>
          <w:b w:val="false"/>
          <w:color w:val="000000"/>
          <w:sz w:val="20"/>
        </w:rPr>
      </w:pPr>
      <w:r>
        <w:rPr>
          <w:rFonts w:ascii="Myriad Pro;sans-serif" w:hAnsi="Myriad Pro;sans-serif"/>
          <w:b w:val="false"/>
          <w:color w:val="000000"/>
          <w:sz w:val="20"/>
        </w:rPr>
        <w:t xml:space="preserve">About Artisan Partners </w:t>
      </w:r>
    </w:p>
    <w:p>
      <w:pPr>
        <w:pStyle w:val="TextBody"/>
        <w:bidi w:val="0"/>
        <w:spacing w:lineRule="auto" w:line="288" w:before="120" w:after="120"/>
        <w:jc w:val="left"/>
        <w:rPr/>
      </w:pPr>
      <w:r>
        <w:rPr>
          <w:rFonts w:ascii="Myriad Pro Light;sans-serif" w:hAnsi="Myriad Pro Light;sans-serif"/>
          <w:b w:val="false"/>
          <w:color w:val="000000"/>
          <w:sz w:val="20"/>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Source: Artisan Partners Asset Management Inc. </w:t>
      </w:r>
    </w:p>
    <w:p>
      <w:pPr>
        <w:pStyle w:val="TextBody"/>
        <w:bidi w:val="0"/>
        <w:spacing w:before="0" w:after="0"/>
        <w:jc w:val="both"/>
        <w:rPr/>
      </w:pPr>
      <w:r>
        <w:rPr/>
      </w:r>
    </w:p>
    <w:p>
      <w:pPr>
        <w:pStyle w:val="TextBody"/>
        <w:bidi w:val="0"/>
        <w:spacing w:lineRule="auto" w:line="288" w:before="100" w:after="10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Investor Relations Inquiries </w:t>
      </w:r>
    </w:p>
    <w:p>
      <w:pPr>
        <w:pStyle w:val="TextBody"/>
        <w:bidi w:val="0"/>
        <w:spacing w:lineRule="auto" w:line="288" w:before="0" w:after="0"/>
        <w:jc w:val="both"/>
        <w:rPr/>
      </w:pPr>
      <w:r>
        <w:rPr>
          <w:rFonts w:ascii="Myriad Pro Light;sans-serif" w:hAnsi="Myriad Pro Light;sans-serif"/>
          <w:b w:val="false"/>
          <w:color w:val="000000"/>
          <w:sz w:val="20"/>
        </w:rPr>
        <w:t>866.632.1770</w:t>
      </w:r>
      <w:r>
        <w:rPr>
          <w:color w:val="000000"/>
        </w:rPr>
        <w:t xml:space="preserve"> </w:t>
      </w:r>
    </w:p>
    <w:p>
      <w:pPr>
        <w:pStyle w:val="TextBody"/>
        <w:bidi w:val="0"/>
        <w:spacing w:lineRule="auto" w:line="288" w:before="0" w:after="0"/>
        <w:jc w:val="both"/>
        <w:rPr/>
      </w:pPr>
      <w:r>
        <w:rPr>
          <w:rFonts w:ascii="Myriad Pro Light;sans-serif" w:hAnsi="Myriad Pro Light;sans-serif"/>
          <w:b w:val="false"/>
          <w:color w:val="000000"/>
          <w:sz w:val="20"/>
        </w:rPr>
        <w:t>ir@artisanpartners.com</w:t>
      </w:r>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057900" cy="762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057900" cy="76200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Myriad Pro;sans-serif" w:hAnsi="Myriad Pro;sans-serif"/>
          <w:b w:val="false"/>
          <w:color w:val="000000"/>
          <w:sz w:val="28"/>
        </w:rPr>
      </w:pPr>
      <w:r>
        <w:rPr>
          <w:rFonts w:ascii="Myriad Pro;sans-serif" w:hAnsi="Myriad Pro;sans-serif"/>
          <w:b w:val="false"/>
          <w:color w:val="000000"/>
          <w:sz w:val="28"/>
        </w:rPr>
        <w:t>Artisan Partners Asset Management Inc. Reports 1Q26 Results and Quarterly Dividend</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Milwaukee, WI - April 28, 2026 - Artisan Partners Asset Management Inc. (NYSE: APAM) (the “Company” or “Artisan Partners”) today reported its results for the quarter ended March 31, 2026, and declared a quarterly dividend.</w:t>
      </w:r>
    </w:p>
    <w:p>
      <w:pPr>
        <w:pStyle w:val="TextBody"/>
        <w:bidi w:val="0"/>
        <w:spacing w:lineRule="auto" w:line="25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Chief Executive Officer Jason Gottlieb said: "Our first quarter results demonstrated continued progress on our strategic initiatives, the resilience of our business model and disciplined execution in a volatile environment.</w:t>
      </w:r>
    </w:p>
    <w:p>
      <w:pPr>
        <w:pStyle w:val="TextBody"/>
        <w:bidi w:val="0"/>
        <w:spacing w:before="0" w:after="0"/>
        <w:jc w:val="left"/>
        <w:rPr/>
      </w:pPr>
      <w:r>
        <w:rPr/>
      </w:r>
    </w:p>
    <w:p>
      <w:pPr>
        <w:pStyle w:val="TextBody"/>
        <w:bidi w:val="0"/>
        <w:spacing w:lineRule="auto" w:line="25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"During the quarter, we closed the acquisition of Grandview Property Partners, onboarded the team, and laid the groundwork for the launch of their next flagship private equity real estate fund later this year. Our two credit-oriented teams also continued to deliver strong investment performance and business development results. We raised $280 million in the Artisan Global Unconstrained Fund, bringing assets under management to more than $1 billion. Across the EMsights Capital Group and Credit team, we raised a combined $1.1 billion, representing an annualized organic growth rate of 23%.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Myriad Pro Light;sans-serif" w:hAnsi="Myriad Pro Light;sans-serif"/>
          <w:b w:val="false"/>
          <w:color w:val="000000"/>
          <w:sz w:val="20"/>
        </w:rPr>
        <w:t>Our long-term investment performance remains strong. Recent highlights include Morningstar nominating the Global Value team’s Dan O’Keefe for the 2026 Morningstar Award for Investing Excellence: Outstanding Equity Portfolio Manager, and Lipper naming the Artisan Global Value Fund, institutional class, the best fund in its Global Large-Cap Value Funds category for the three-, five-, and ten-year periods ended December 31, 2025. The Sustainable Emerging Markets strategy generated three-year average annual outperformance of 280 basis points, net of fees, and saw over $250 million of inflows in the first quarter. In addition, the Global Equity and Non-U.S. Growth strategies generated three-year average annual outperformance of 620 and 440 basis points, net of fees, respectively. Both strategies have delivered more than 280 basis points of average annual outperformance since their respective inception dates.</w:t>
      </w:r>
    </w:p>
    <w:p>
      <w:pPr>
        <w:pStyle w:val="TextBody"/>
        <w:bidi w:val="0"/>
        <w:spacing w:before="0" w:after="0"/>
        <w:jc w:val="left"/>
        <w:rPr/>
      </w:pPr>
      <w:r>
        <w:rPr/>
      </w:r>
    </w:p>
    <w:p>
      <w:pPr>
        <w:pStyle w:val="TextBody"/>
        <w:bidi w:val="0"/>
        <w:spacing w:lineRule="auto" w:line="25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"Strong flows into our credit-oriented businesses were offset by attrition in our equity strategies, resulting in firmwide net outflows of $3 billion. Across the equity strategies, we saw clients de-risking, reallocating after periods of asset class outperformance, and, in some cases, shifting to passive alternatives. </w:t>
      </w:r>
    </w:p>
    <w:p>
      <w:pPr>
        <w:pStyle w:val="TextBody"/>
        <w:bidi w:val="0"/>
        <w:spacing w:before="0" w:after="0"/>
        <w:jc w:val="left"/>
        <w:rPr/>
      </w:pPr>
      <w:r>
        <w:rPr/>
      </w:r>
    </w:p>
    <w:p>
      <w:pPr>
        <w:pStyle w:val="TextBody"/>
        <w:bidi w:val="0"/>
        <w:spacing w:lineRule="auto" w:line="25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"While we expect pressure on equity flows to persist, we continue to invest in our distribution capabilities, expand our presence in the intermediated wealth channel and EMEA, and broaden our investment vehicle lineup to better align with client demand. Combined with the expansion of our platform across fixed income and alternatives, we believe these investments will help maintain our long-term growth trajectory.</w:t>
      </w:r>
    </w:p>
    <w:p>
      <w:pPr>
        <w:pStyle w:val="TextBody"/>
        <w:bidi w:val="0"/>
        <w:spacing w:before="0" w:after="0"/>
        <w:jc w:val="left"/>
        <w:rPr/>
      </w:pPr>
      <w:r>
        <w:rPr/>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"In the first quarter of 2026, average assets under management and revenues both increased 9% compared to the first quarter of 2025, while operating income and adjusted operating income increased 10% and 6%, respectively. From a financial perspective, 2026 is building on the strong foundation laid in 2025, when we achieved record assets under management and our second-highest annual revenues. </w:t>
      </w:r>
    </w:p>
    <w:p>
      <w:pPr>
        <w:pStyle w:val="TextBody"/>
        <w:bidi w:val="0"/>
        <w:spacing w:before="0" w:after="0"/>
        <w:jc w:val="left"/>
        <w:rPr/>
      </w:pPr>
      <w:r>
        <w:rPr/>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"As the asset management landscape continues to evolve, we are prioritizing business development and platform expansion in credit and alternatives through existing team capabilities, lift-outs, and M&amp;A. Our strong balance sheet and cash flows provide multiple options to fund future growth. We intend to further leverage our enhanced transactional and operational capabilities, allocate capital toward high-conviction investments, and return meaningful capital to our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Myriad Pro;sans-serif" w:hAnsi="Myriad Pro;sans-serif"/>
          <w:b w:val="false"/>
          <w:color w:val="000000"/>
          <w:sz w:val="20"/>
        </w:rPr>
      </w:pPr>
      <w:r>
        <w:rPr>
          <w:rFonts w:ascii="Myriad Pro;sans-serif" w:hAnsi="Myriad Pro;sans-serif"/>
          <w:b w:val="false"/>
          <w:color w:val="000000"/>
          <w:sz w:val="20"/>
        </w:rPr>
        <w:t>AUM and Flows</w:t>
      </w:r>
    </w:p>
    <w:tbl>
      <w:tblPr>
        <w:tblW w:w="9234" w:type="dxa"/>
        <w:jc w:val="left"/>
        <w:tblInd w:w="0" w:type="dxa"/>
        <w:tblLayout w:type="fixed"/>
        <w:tblCellMar>
          <w:top w:w="28" w:type="dxa"/>
          <w:left w:w="28" w:type="dxa"/>
          <w:bottom w:w="28" w:type="dxa"/>
          <w:right w:w="28" w:type="dxa"/>
        </w:tblCellMar>
      </w:tblPr>
      <w:tblGrid>
        <w:gridCol w:w="1462"/>
        <w:gridCol w:w="1283"/>
        <w:gridCol w:w="1289"/>
        <w:gridCol w:w="226"/>
        <w:gridCol w:w="946"/>
        <w:gridCol w:w="109"/>
        <w:gridCol w:w="109"/>
        <w:gridCol w:w="109"/>
        <w:gridCol w:w="109"/>
        <w:gridCol w:w="246"/>
        <w:gridCol w:w="1030"/>
        <w:gridCol w:w="118"/>
        <w:gridCol w:w="109"/>
        <w:gridCol w:w="109"/>
        <w:gridCol w:w="109"/>
        <w:gridCol w:w="226"/>
        <w:gridCol w:w="946"/>
        <w:gridCol w:w="109"/>
        <w:gridCol w:w="109"/>
        <w:gridCol w:w="109"/>
        <w:gridCol w:w="109"/>
        <w:gridCol w:w="109"/>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(unaudited,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Beginning assets under management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181,306 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161,208 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Gross client cash inflows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7,703 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Gross client cash outflows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(13,333)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Net client cash flows</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(5,630)</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Acquisitions</w:t>
            </w:r>
            <w:r>
              <w:rPr>
                <w:rFonts w:ascii="Myriad Pro Light;sans-serif" w:hAnsi="Myriad Pro Light;sans-serif"/>
                <w:b w:val="false"/>
                <w:color w:val="000000"/>
                <w:sz w:val="12"/>
              </w:rPr>
              <w:t>1</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Artisan Funds' distributions not reinvested</w:t>
            </w:r>
            <w:r>
              <w:rPr>
                <w:rFonts w:ascii="Myriad Pro Light;sans-serif" w:hAnsi="Myriad Pro Light;sans-serif"/>
                <w:b w:val="false"/>
                <w:color w:val="000000"/>
                <w:sz w:val="12"/>
              </w:rPr>
              <w:t>2</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Investment returns and other</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(4,576)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5,763 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Ending assets under management</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172,981 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179,928 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162,390 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Average assets under management</w:t>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182,403 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180,889 </w:t>
            </w:r>
          </w:p>
        </w:tc>
        <w:tc>
          <w:tcPr>
            <w:tcW w:w="11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166,743 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Myriad Pro;sans-serif" w:hAnsi="Myriad Pro;sans-serif"/>
          <w:b w:val="false"/>
          <w:color w:val="000000"/>
          <w:sz w:val="20"/>
        </w:rPr>
      </w:pPr>
      <w:r>
        <w:rPr>
          <w:rFonts w:ascii="Myriad Pro;sans-serif" w:hAnsi="Myriad Pro;sans-serif"/>
          <w:b w:val="false"/>
          <w:color w:val="000000"/>
          <w:sz w:val="20"/>
        </w:rPr>
        <w:t>Financial Results</w:t>
      </w:r>
    </w:p>
    <w:p>
      <w:pPr>
        <w:pStyle w:val="TextBody"/>
        <w:bidi w:val="0"/>
        <w:spacing w:lineRule="auto" w:line="331" w:before="120" w:after="120"/>
        <w:jc w:val="left"/>
        <w:rPr/>
      </w:pPr>
      <w:r>
        <w:rPr>
          <w:rFonts w:ascii="Myriad Pro Light;sans-serif" w:hAnsi="Myriad Pro Light;sans-serif"/>
          <w:b w:val="false"/>
          <w:color w:val="000000"/>
          <w:sz w:val="20"/>
        </w:rPr>
        <w:t>The table below presents AUM and a comparison of certain GAAP and non-GAAP (</w:t>
      </w:r>
      <w:r>
        <w:rPr>
          <w:color w:val="000000"/>
        </w:rPr>
        <w:t>“</w:t>
      </w:r>
      <w:r>
        <w:rPr>
          <w:rFonts w:ascii="Myriad Pro Light;sans-serif" w:hAnsi="Myriad Pro Light;sans-serif"/>
          <w:b w:val="false"/>
          <w:color w:val="000000"/>
          <w:sz w:val="20"/>
        </w:rPr>
        <w:t>adjusted</w:t>
      </w:r>
      <w:r>
        <w:rPr>
          <w:color w:val="000000"/>
        </w:rPr>
        <w:t>”</w:t>
      </w:r>
      <w:r>
        <w:rPr>
          <w:rFonts w:ascii="Myriad Pro Light;sans-serif" w:hAnsi="Myriad Pro Light;sans-serif"/>
          <w:b w:val="false"/>
          <w:color w:val="000000"/>
          <w:sz w:val="20"/>
        </w:rPr>
        <w:t>) financial measures.</w:t>
      </w:r>
    </w:p>
    <w:tbl>
      <w:tblPr>
        <w:tblW w:w="10205" w:type="dxa"/>
        <w:jc w:val="left"/>
        <w:tblInd w:w="0" w:type="dxa"/>
        <w:tblLayout w:type="fixed"/>
        <w:tblCellMar>
          <w:top w:w="28" w:type="dxa"/>
          <w:left w:w="28" w:type="dxa"/>
          <w:bottom w:w="28" w:type="dxa"/>
          <w:right w:w="28" w:type="dxa"/>
        </w:tblCellMar>
      </w:tblPr>
      <w:tblGrid>
        <w:gridCol w:w="1493"/>
        <w:gridCol w:w="1275"/>
        <w:gridCol w:w="1307"/>
        <w:gridCol w:w="290"/>
        <w:gridCol w:w="908"/>
        <w:gridCol w:w="348"/>
        <w:gridCol w:w="139"/>
        <w:gridCol w:w="139"/>
        <w:gridCol w:w="139"/>
        <w:gridCol w:w="321"/>
        <w:gridCol w:w="1006"/>
        <w:gridCol w:w="385"/>
        <w:gridCol w:w="139"/>
        <w:gridCol w:w="139"/>
        <w:gridCol w:w="139"/>
        <w:gridCol w:w="290"/>
        <w:gridCol w:w="908"/>
        <w:gridCol w:w="348"/>
        <w:gridCol w:w="109"/>
        <w:gridCol w:w="109"/>
        <w:gridCol w:w="109"/>
        <w:gridCol w:w="165"/>
      </w:tblGrid>
      <w:tr>
        <w:trPr/>
        <w:tc>
          <w:tcPr>
            <w:tcW w:w="149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December 31,</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(unaudited, in millions except per share amounts or as otherwise noted)</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Assets Under Management (amounts in billions)</w:t>
            </w:r>
          </w:p>
        </w:tc>
        <w:tc>
          <w:tcPr>
            <w:tcW w:w="492" w:type="dxa"/>
            <w:gridSpan w:val="4"/>
            <w:tcBorders/>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Ending</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162.4 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Average</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180.9 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166.7 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Consolidated Financial Results (GAAP)</w:t>
            </w:r>
          </w:p>
        </w:tc>
        <w:tc>
          <w:tcPr>
            <w:tcW w:w="492" w:type="dxa"/>
            <w:gridSpan w:val="4"/>
            <w:tcBorders/>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Revenues</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335.5 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277.1 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income</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131.5 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86.5 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margin</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39.2 </w:t>
            </w:r>
          </w:p>
        </w:tc>
        <w:tc>
          <w:tcPr>
            <w:tcW w:w="385"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31.2 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Net income attributable to Artisan Partners Asset Management Inc.</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94.8 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Basic earnings per share</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0.82 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Diluted earnings per share</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0.82 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18"/>
              </w:rPr>
              <w:t>Adjusted</w:t>
            </w:r>
            <w:r>
              <w:rPr>
                <w:rFonts w:ascii="Myriad Pro;sans-serif" w:hAnsi="Myriad Pro;sans-serif"/>
                <w:b w:val="false"/>
                <w:color w:val="000000"/>
                <w:sz w:val="12"/>
              </w:rPr>
              <w:t>3</w:t>
            </w:r>
            <w:r>
              <w:rPr>
                <w:color w:val="000000"/>
              </w:rPr>
              <w:t xml:space="preserve"> </w:t>
            </w:r>
            <w:r>
              <w:rPr>
                <w:rFonts w:ascii="Myriad Pro;sans-serif" w:hAnsi="Myriad Pro;sans-serif"/>
                <w:b w:val="false"/>
                <w:color w:val="000000"/>
                <w:sz w:val="18"/>
              </w:rPr>
              <w:t>Financial Results</w:t>
            </w:r>
          </w:p>
        </w:tc>
        <w:tc>
          <w:tcPr>
            <w:tcW w:w="492" w:type="dxa"/>
            <w:gridSpan w:val="4"/>
            <w:tcBorders/>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Adjusted operating income</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134.8 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Adjusted operating margin </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40.2 </w:t>
            </w:r>
          </w:p>
        </w:tc>
        <w:tc>
          <w:tcPr>
            <w:tcW w:w="385"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32.1 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Adjusted EBITDA</w:t>
            </w:r>
            <w:r>
              <w:rPr>
                <w:rFonts w:ascii="Myriad Pro Light;sans-serif" w:hAnsi="Myriad Pro Light;sans-serif"/>
                <w:b w:val="false"/>
                <w:color w:val="000000"/>
                <w:sz w:val="12"/>
              </w:rPr>
              <w:t>4</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139.9 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93.6 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Adjusted net income</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70.8 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Adjusted net income per adjusted share</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0.87 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1.26 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0.83 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7970"/>
                <wp:effectExtent l="0" t="0" r="0" b="0"/>
                <wp:wrapNone/>
                <wp:docPr id="8" name="Frame6"/>
                <a:graphic xmlns:a="http://schemas.openxmlformats.org/drawingml/2006/main">
                  <a:graphicData uri="http://schemas.microsoft.com/office/word/2010/wordprocessingShape">
                    <wps:wsp>
                      <wps:cNvSpPr txBox="1"/>
                      <wps:spPr>
                        <a:xfrm>
                          <a:off x="0" y="0"/>
                          <a:ext cx="6480175" cy="1537970"/>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Represents the closing of Grandview Property Partners acquisition.</w:t>
                            </w:r>
                          </w:p>
                          <w:p>
                            <w:pPr>
                              <w:pStyle w:val="TextBody"/>
                              <w:bidi w:val="0"/>
                              <w:spacing w:lineRule="auto" w:line="276" w:before="0" w:after="0"/>
                              <w:jc w:val="left"/>
                              <w:rPr/>
                            </w:pPr>
                            <w:r>
                              <w:rPr>
                                <w:rFonts w:ascii="Myriad Pro Light;sans-serif" w:hAnsi="Myriad Pro Light;sans-serif"/>
                                <w:b w:val="false"/>
                                <w:color w:val="000000"/>
                                <w:sz w:val="10"/>
                              </w:rPr>
                              <w:t xml:space="preserve">2 </w:t>
                            </w:r>
                            <w:r>
                              <w:rPr>
                                <w:rFonts w:ascii="Myriad Pro Light;sans-serif" w:hAnsi="Myriad Pro Light;sans-serif"/>
                                <w:b w:val="false"/>
                                <w:color w:val="000000"/>
                                <w:sz w:val="16"/>
                              </w:rPr>
                              <w:t>Artisan Funds' distributions not reinvested represents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Adjusted measures are non-GAAP measures and are explained and reconciled to the comparable GAAP measures in Exhibit 2.</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Adjusted EBITDA represents adjusted net income before interest expense, income taxes, depreciation and amortization expense.</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Represents the closing of Grandview Property Partners acquisition.</w:t>
                      </w:r>
                    </w:p>
                    <w:p>
                      <w:pPr>
                        <w:pStyle w:val="TextBody"/>
                        <w:bidi w:val="0"/>
                        <w:spacing w:lineRule="auto" w:line="276" w:before="0" w:after="0"/>
                        <w:jc w:val="left"/>
                        <w:rPr/>
                      </w:pPr>
                      <w:r>
                        <w:rPr>
                          <w:rFonts w:ascii="Myriad Pro Light;sans-serif" w:hAnsi="Myriad Pro Light;sans-serif"/>
                          <w:b w:val="false"/>
                          <w:color w:val="000000"/>
                          <w:sz w:val="10"/>
                        </w:rPr>
                        <w:t xml:space="preserve">2 </w:t>
                      </w:r>
                      <w:r>
                        <w:rPr>
                          <w:rFonts w:ascii="Myriad Pro Light;sans-serif" w:hAnsi="Myriad Pro Light;sans-serif"/>
                          <w:b w:val="false"/>
                          <w:color w:val="000000"/>
                          <w:sz w:val="16"/>
                        </w:rPr>
                        <w:t>Artisan Funds' distributions not reinvested represents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Adjusted measures are non-GAAP measures and are explained and reconciled to the comparable GAAP measures in Exhibit 2.</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Adjusted EBITDA represents adjusted net income before interest expense, income taxes, depreciation and amortization expense.</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2</w:t>
                      </w:r>
                    </w:p>
                  </w:txbxContent>
                </v:textbox>
                <w10:wrap type="none"/>
              </v:rect>
            </w:pict>
          </mc:Fallback>
        </mc:AlternateConten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 xml:space="preserve">Capital Management &amp; Balance Sheet </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Cash and cash equivalents were $271.1 million at March 31, 2026, compared to $214.4 million at December 31, 2025. During the March 31, 2026 quarter, the Company paid a dividend of $1.58 per share of Class A common stock, consisting of a variable quarterly dividend of $1.01 per share of Class A common stock with respect to the December 2025 quarter and a special dividend of $0.57 per share. The Company had total borrowings of $190.0 million at March 31, 2026 and December 31, 2025.</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During the March 2026 quarter, the Company invested $50.6 million of cash to economically hedge the franchise capital long-term incentive awards that were approved in January 2026. Total assets at March 31, 2026 includes $255.0 million of investments held to economically hedge compensation plans.</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As a result of the acquisition of Grandview Property Partners during the March 2026 quarter, the Company recorded goodwill of $39.5 million, intangible assets of $8.0 million and contingent consideration payable of $25.1 million.</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Total stockholders’ equity was $433.1 million at March 31, 2026, compared to $478.1 million at December 31, 2025. The Company had 71.0 million Class A common shares outstanding at March 31, 2026. The Company’s debt leverage ratio, calculated in accordance with its loan agreements, was 0.4x at March 31, 2026.</w: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Dividend</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Company’s board of directors declared a variable quarterly dividend of $0.77 per share of Class A common stock with respect to the March 2026 quarter. The variable quarterly dividend represents approximately 80% of the cash generated in the March 2026 quarter and will be paid on May 29, 2026, to shareholders of record as of the close of business on May 15, 2026. Based on our projections and subject to change, we expect some portion of the 2026 dividend payments to constitute a return of capital for tax purposes.</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Subject to board approval each quarter, we currently expect to pay a quarterly dividend of approximately 80% of the cash the Company generates each quarter from operations. We expect cash generation will generally equal adjusted net income plus long-term incentive compensation expense, less cash reserved for future franchise capital awards, with additional adjustments made for certain other sources and uses of cash, including capital expenditures. After the end of the year, our board will consider payment of a special dividend from the 20% withheld each quarter plus any discrete sources and uses of cash throughout the year, including gains realized upon seed capital redemptions and investments redeemed in connection with forfeited franchise capital awards.</w:t>
      </w:r>
    </w:p>
    <w:p>
      <w:pPr>
        <w:pStyle w:val="TextBody"/>
        <w:bidi w:val="0"/>
        <w:spacing w:lineRule="auto" w:line="288" w:before="120" w:after="120"/>
        <w:jc w:val="center"/>
        <w:rPr>
          <w:rFonts w:ascii="Myriad Pro Light;sans-serif" w:hAnsi="Myriad Pro Light;sans-serif"/>
          <w:b w:val="false"/>
          <w:color w:val="000000"/>
          <w:sz w:val="20"/>
        </w:rPr>
      </w:pPr>
      <w:r>
        <w:rPr>
          <w:rFonts w:ascii="Myriad Pro Light;sans-serif" w:hAnsi="Myriad Pro Light;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3</w:t>
                      </w:r>
                    </w:p>
                  </w:txbxContent>
                </v:textbox>
                <w10:wrap type="none"/>
              </v:rect>
            </w:pict>
          </mc:Fallback>
        </mc:AlternateConten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 xml:space="preserve">Conference Call </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 will host a conference call on April 29, 2026, at 11:00 a.m. (Eastern Time) to discuss these results. Hosting the call will be Jason Gottlieb, Chief Executive Officer and President, and C.J. Daley, Chief Financial Officer. Supplemental materials that will be reviewed during the call are available on the Company’s website at www.apam.com. The call will be webcast and can be accessed via the Company’s website. Listeners may also access the call by dialing 877.328.5507 or 412.317.5423 for international callers; the conference ID is 10207226. A replay of the call will be available until May 6, 2026, at 9:00 a.m. (Eastern Time), by dialing 855.669.9658 or 412.317.0088 for international callers; the replay conference ID is 4787506. An audio recording will also be available on the Company’s website.</w: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 xml:space="preserve">Forward-Looking Statements and Other Disclosures </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Certain statements in this release, and other written or oral statements made by or on behalf of the Company, are “forward-looking statements” within the meaning of the federal securities laws. Statements regarding future events and our future performance, as well as management’s current expectations, beliefs, plans, estimates or projections relating to the future, are forward-looking statements within the meaning of these laws. These forward-looking statements are only predictions based on current expectations and projections about future events. These forward-looking statements are subject to a number of risks and uncertainties, and there are important factors that could cause actual results, level of activity, performance, actions or achievements to differ materially from the results, level of activity, performance, actions or achievements expressed or implied by the forward-looking statements. These factors include: the loss of key investment professionals or senior management, adverse market or economic conditions for whatever reason, poor performance of our investment strategies, change in the legislative and regulatory environment in which we operate, operational or technical errors or other matters that cause damage to our reputation, and other factors disclosed in the Company’s filings with the Securities and Exchange Commission, including those factors listed under the caption entitled “Risk Factors” in Item 1A of the Company’s Annual Report on Form 10-K for the fiscal year ended December 31, 2025, filed with the SEC on February 20, 2026, as such factors may be updated from time to time. Our periodic and current reports are accessible on the SEC's website at www.sec.gov. The Company undertakes no obligation to update any forward-looking statements in order to reflect events or circumstances that may arise after the date of this release. </w:t>
      </w:r>
    </w:p>
    <w:p>
      <w:pPr>
        <w:pStyle w:val="TextBody"/>
        <w:bidi w:val="0"/>
        <w:spacing w:lineRule="auto" w:line="268" w:before="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Assets Under Management (AUM) refers to the assets of pooled vehicles and separate accounts to which Artisan Partners provides services. Artisan Partners’ AUM as reported here includes assets for certain strategies for which Artisan Partners provides model portfolios to managed account sponsors, for which we earn only investment-related service fees. Model assets are generally reported on a lag not exceeding one quarter and represented $314 million, $123 million, and $113 million in aggregate as of March 31, 2026, December 31, 2025, and March 31, 2025, respectively. Artisan's definition of AUM is not based on any definition of Assets Under Management contained in Form ADV or in any of Artisan's investment management agreements. </w:t>
      </w:r>
    </w:p>
    <w:p>
      <w:pPr>
        <w:pStyle w:val="TextBody"/>
        <w:bidi w:val="0"/>
        <w:spacing w:lineRule="auto" w:line="25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Results for any investment strategy described herein, and for different investment products within a strategy, are affected by numerous factors, including different material market or economic conditions; different investment management fee rates, brokerage commissions and other expenses; and the reinvestment of dividends or other earnings. The returns for any strategy may be positive or negative, and past performance does not guarantee future results. In these materials we present relative performance, sourced from Artisan Partners, MSCI, Russell, S&amp;P, JP Morgan and ICE BofA. Current performance may be lower or higher than the performance shown. </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Unless otherwise noted, composite returns have been presented gross of investment advisory fees applied to client accounts, but include applicable trade commissions and transaction costs. Management fees, when reflected, would reduce the results presented for an investor in an account managed within a composite. Net-of-fees composite returns presented in these materials were calculated using the highest model investment advisory fees applicable to portfolios within the composite. Fees may be higher for certain pooled vehicles, and the composite may include accounts with performance-based fees. Index returns do not reflect the payment of fees and expenses. Certain Artisan composite returns may be represented by a single account.</w:t>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 these materials, we present Value Added, which is the difference between an Artisan strategy's average annual return and the return of its respective benchmark. We may also present Excess Returns (alpha), which are an estimate of the amount in dollars by which Artisan's investment strategies have outperformed or underperformed their respective benchmark. Excess Returns are calculated by (i) multiplying a strategy's beginning-of-year AUM by the difference between the returns (in basis points) of the strategy (gross of fees, unless otherwise indicated) and the benchmark for the ensuing year and (ii) summing all strategies' Excess Returns for each year calculated. Market Returns include all changes in AUM not included in Excess Returns, client cash flows and Artisan Funds distributions not reinvested. The benchmark used for purposes of presenting a strategy’s performance and calculating Value Added and Excess Returns is generally the market index most commonly used by our clients to compare the performance of the relevant strategy. For certain strategies that are managed for absolute return, the benchmark used for purposes of presenting a strategy’s performance and calculating Value Added and Excess Returns is the index used by the Company’s management to evaluate the performance of the strategy. YTD Relative performance as presented in these materials compares the performance of a strategy's composite to its respective index.</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xbxContent>
                </v:textbox>
                <w10:wrap type="none"/>
              </v:rect>
            </w:pict>
          </mc:Fallback>
        </mc:AlternateContent>
      </w:r>
    </w:p>
    <w:p>
      <w:pPr>
        <w:pStyle w:val="TextBody"/>
        <w:bidi w:val="0"/>
        <w:spacing w:lineRule="auto" w:line="268" w:before="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Composites / Indexes used for the comparison calculations described are: Non-U.S. Growth Strategy / International Value Strategy-MSCI EAFE Index; Global Equity Strategy / Global Opportunities Strategy / Global Value Strategy / Franchise Strategy-MSCI All Country World Index; Global Discovery Strategy: MSCI All Country World Small Mid Cap Index; Non-U.S. Small-Mid Growth Strategy-MSCI All Country World Index Ex USA Small Mid Index; U.S. Mid-Cap Growth Strategy-Russell Midcap Growth® Index; U.S. Mid-Cap Value Strategy-Russell Midcap Value® Index; U.S. Small-Cap Growth Strategy-Russell 2000 Growth® Index; Value Equity Strategy-Russell 1000 Value® Index; Developing World Strategy / Sustainable Emerging Markets Strategy-MSCI Emerging Markets Index; High Income Strategy-ICE BofA U.S. High Yield Index; Credit Opportunities Strategy-ICE BofA U.S. Dollar 3-Month Deposit Offered Rate Constant Maturity Index; Antero Peak Strategy / Antero Peak Hedge Strategy / Select Equity Strategy / Value Income Strategy-S&amp;P 500® Market Index; International Explorer Strategy-MSCI All Country World Index Ex USA Small Cap; Floating Rate Strategy-S&amp;P UBS Leveraged Loan Index; Global Unconstrained Strategy-ICE BofA 3-Month U.S. Treasury Bill Index; Global Special Situations Strategy-ICE BofA Global High Yield Index; Emerging Markets Debt Opportunities Strategy-J.P. Morgan EMB Hard Currency/Local Currency 50-50; Emerging Markets Local Opportunities Strategy-J.P. Morgan GBI-EM Global Diversified Index. Where applicable, composite returns have been included for the following discontinued strategies and their indexes: Global Small-Cap Growth Strategy (Jul 1, 2013-Dec 31, 2016)-MSCI ACWI Small Cap Index; U.S. Small-Cap Value Strategy (Jun 1, 1997-Apr 30, 2016)-Russell 2000® Index; Non-U.S. Small-Cap Growth Strategy (Jan 1, 2002-Nov 30, 2018)-MSCI EAFE Small Cap Index; China Post-Venture Strategy (Apr 1, 2021-Jun 30, 2025). Index returns do not reflect the payment of fees and expenses. An investment cannot be made directly in an Artisan Partners composite or a market index and the aggregated results are hypothetical.</w:t>
      </w:r>
    </w:p>
    <w:p>
      <w:pPr>
        <w:pStyle w:val="TextBody"/>
        <w:bidi w:val="0"/>
        <w:spacing w:lineRule="auto" w:line="268" w:before="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Morningstar Awards for Investing Excellence recognize portfolio managers and asset-management firms that demonstrate excellent investment skill, the courage to differ from the consensus to benefit investors, and a commitment to aligning their interests with those of their investors. Morningstar’s manager research analysts conduct in depth qualitative analyses to select nominees and, subsequently, vote to determine the award winner. Find out more at go.morningstar.com/awards. To qualify for the award, one of the manager’s strategies must currently earn a Morningstar Analyst Rating™ of Gold or Silver for at least one vehicle and/or share class. Morningstar Inc.’s awards are based on qualitative evaluation and research, thus subjective in nature and should not be used as the sole basis for investment decisions. Morningstar’s awards are not guarantees of a portfolio’s future investment performance.</w:t>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The LSEG Lipper Fund Awards, granted annually, highlight funds and fund companies that have excelled in delivering consistently strong risk-adjusted performance relative to their peers. The LSEG Lipper Fund Awards are based on the Lipper Leader for Consistent Return rating, which is a risk-adjusted performance measure calculated over 36, 60 and 120 months. The fund with the highest Lipper Leader for Consistent Return (Effective Return) value in each eligible classification wins the LSEG Lipper Fund Award. For more information, see lipperfundawards.com. Although LSEG makes reasonable efforts to ensure the accuracy and reliability of the data contained herein, the accuracy is not guaranteed by LSEG Lipper. Artisan Funds are available through multiple share classes, which have lower investment minimums and higher fees than the Institutional Share Class.</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None of the information in these materials constitutes either an offer or a solicitation to buy or sell any fund securities, nor is any such information a recommendation for any fund security or investment service. The funds and strategies may not be available to all investors in all jurisdictions. </w:t>
      </w:r>
    </w:p>
    <w:p>
      <w:pPr>
        <w:pStyle w:val="TextBody"/>
        <w:bidi w:val="0"/>
        <w:spacing w:lineRule="auto" w:line="276"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Grandview Property Partners is a separate, wholly-owned subsidiary and a registered investment adviser with the U.S. Securities and Exchange Commission.</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Any discrepancies included in this release between totals and the sums of the amounts listed are due to rounding.</w:t>
      </w:r>
    </w:p>
    <w:p>
      <w:pPr>
        <w:pStyle w:val="TextBody"/>
        <w:bidi w:val="0"/>
        <w:spacing w:before="120" w:after="120"/>
        <w:jc w:val="left"/>
        <w:rPr/>
      </w:pPr>
      <w:r>
        <w:rPr/>
      </w:r>
    </w:p>
    <w:p>
      <w:pPr>
        <w:pStyle w:val="TextBody"/>
        <w:bidi w:val="0"/>
        <w:spacing w:lineRule="auto" w:line="288" w:before="120" w:after="120"/>
        <w:jc w:val="left"/>
        <w:rPr>
          <w:rFonts w:ascii="Myriad Pro;sans-serif" w:hAnsi="Myriad Pro;sans-serif"/>
          <w:b w:val="false"/>
          <w:color w:val="000000"/>
          <w:sz w:val="20"/>
        </w:rPr>
      </w:pPr>
      <w:r>
        <w:rPr>
          <w:rFonts w:ascii="Myriad Pro;sans-serif" w:hAnsi="Myriad Pro;sans-serif"/>
          <w:b w:val="false"/>
          <w:color w:val="000000"/>
          <w:sz w:val="20"/>
        </w:rPr>
        <w:t xml:space="preserve">About Artisan Partners </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 </w:t>
      </w:r>
    </w:p>
    <w:p>
      <w:pPr>
        <w:pStyle w:val="TextBody"/>
        <w:bidi w:val="0"/>
        <w:spacing w:before="120" w:after="120"/>
        <w:jc w:val="both"/>
        <w:rPr/>
      </w:pPr>
      <w:r>
        <w:rPr/>
      </w:r>
    </w:p>
    <w:p>
      <w:pPr>
        <w:pStyle w:val="TextBody"/>
        <w:bidi w:val="0"/>
        <w:spacing w:lineRule="auto" w:line="288" w:before="120" w:after="12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Source: Artisan Partners Asset Management Inc. </w:t>
      </w:r>
    </w:p>
    <w:p>
      <w:pPr>
        <w:pStyle w:val="TextBody"/>
        <w:bidi w:val="0"/>
        <w:spacing w:before="120" w:after="120"/>
        <w:jc w:val="both"/>
        <w:rPr/>
      </w:pPr>
      <w:r>
        <w:rPr/>
      </w:r>
    </w:p>
    <w:p>
      <w:pPr>
        <w:pStyle w:val="TextBody"/>
        <w:bidi w:val="0"/>
        <w:spacing w:lineRule="auto" w:line="288" w:before="120" w:after="120"/>
        <w:jc w:val="both"/>
        <w:rPr/>
      </w:pPr>
      <w:r>
        <w:rPr>
          <w:rFonts w:ascii="Myriad Pro Light;sans-serif" w:hAnsi="Myriad Pro Light;sans-serif"/>
          <w:b w:val="false"/>
          <w:color w:val="000000"/>
          <w:sz w:val="20"/>
        </w:rPr>
        <w:t>Investor Relations Inquiries</w:t>
      </w:r>
      <w:r>
        <w:rPr>
          <w:color w:val="000000"/>
        </w:rPr>
        <w:t xml:space="preserve"> </w:t>
      </w:r>
    </w:p>
    <w:p>
      <w:pPr>
        <w:pStyle w:val="TextBody"/>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866.632.1770 </w:t>
      </w:r>
    </w:p>
    <w:p>
      <w:pPr>
        <w:pStyle w:val="TextBody"/>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ir@artisanpartners.com</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3E3F3E"/>
          <w:sz w:val="18"/>
        </w:rPr>
      </w:pPr>
      <w:r>
        <w:rPr>
          <w:rFonts w:ascii="Myriad Pro;sans-serif" w:hAnsi="Myriad Pro;sans-serif"/>
          <w:b w:val="false"/>
          <w:color w:val="3E3F3E"/>
          <w:sz w:val="18"/>
        </w:rPr>
        <w:t>Exhibit 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Artisan Partners Asset Management Inc.</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Consolidated Statements of Operations</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(unaudited; in millions, except per share amounts or as noted)</w:t>
      </w:r>
    </w:p>
    <w:tbl>
      <w:tblPr>
        <w:tblW w:w="10205" w:type="dxa"/>
        <w:jc w:val="center"/>
        <w:tblInd w:w="0" w:type="dxa"/>
        <w:tblLayout w:type="fixed"/>
        <w:tblCellMar>
          <w:top w:w="28" w:type="dxa"/>
          <w:left w:w="28" w:type="dxa"/>
          <w:bottom w:w="28" w:type="dxa"/>
          <w:right w:w="28" w:type="dxa"/>
        </w:tblCellMar>
      </w:tblPr>
      <w:tblGrid>
        <w:gridCol w:w="2169"/>
        <w:gridCol w:w="1784"/>
        <w:gridCol w:w="1795"/>
        <w:gridCol w:w="226"/>
        <w:gridCol w:w="706"/>
        <w:gridCol w:w="109"/>
        <w:gridCol w:w="109"/>
        <w:gridCol w:w="109"/>
        <w:gridCol w:w="109"/>
        <w:gridCol w:w="268"/>
        <w:gridCol w:w="839"/>
        <w:gridCol w:w="129"/>
        <w:gridCol w:w="109"/>
        <w:gridCol w:w="109"/>
        <w:gridCol w:w="109"/>
        <w:gridCol w:w="226"/>
        <w:gridCol w:w="706"/>
        <w:gridCol w:w="109"/>
        <w:gridCol w:w="109"/>
        <w:gridCol w:w="109"/>
        <w:gridCol w:w="109"/>
        <w:gridCol w:w="158"/>
      </w:tblGrid>
      <w:tr>
        <w:trPr/>
        <w:tc>
          <w:tcPr>
            <w:tcW w:w="216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Management fees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Funds &amp; Artisan Global Funds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195.0 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Separate accounts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Performance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revenues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335.5 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Distribution, servicing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Occupancy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Communication and technology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Amortization of intangible assets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operating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204.0 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131.5 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Interest income on cash and cash equivalents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Net investment gain (loss) of consolidated investment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Net investment gain (loss) of nonconsolidated investment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non-operating income (expense)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Income before income taxes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147.5 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Net income before noncontrolling interests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118.0 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Less: Net income attributable to noncontrolling interests - Artisan Partners Holdings LP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Less: Net income (loss) attributable to noncontrolling interests - consolidated investment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Net income attributable to Artisan Partners Asset Management Inc.</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Basic earnings per share - Class A common shares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Diluted earnings per share - Class A common shares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Average shares outstanding</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Class A common shares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Participating unvested restricted share-based awards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Total average shares outstanding</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3E3F3E"/>
          <w:sz w:val="18"/>
        </w:rPr>
      </w:pPr>
      <w:r>
        <w:rPr>
          <w:rFonts w:ascii="Myriad Pro;sans-serif" w:hAnsi="Myriad Pro;sans-serif"/>
          <w:b w:val="false"/>
          <w:color w:val="3E3F3E"/>
          <w:sz w:val="18"/>
        </w:rPr>
        <w:t>Exhibit 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Artisan Partners Asset Management Inc.</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Reconciliation of GAAP to Non-GAAP (“Adjusted”) Measures</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(unaudited; in millions, except per share amounts or as noted)</w:t>
      </w:r>
    </w:p>
    <w:tbl>
      <w:tblPr>
        <w:tblW w:w="10205" w:type="dxa"/>
        <w:jc w:val="center"/>
        <w:tblInd w:w="0" w:type="dxa"/>
        <w:tblLayout w:type="fixed"/>
        <w:tblCellMar>
          <w:top w:w="28" w:type="dxa"/>
          <w:left w:w="28" w:type="dxa"/>
          <w:bottom w:w="28" w:type="dxa"/>
          <w:right w:w="28" w:type="dxa"/>
        </w:tblCellMar>
      </w:tblPr>
      <w:tblGrid>
        <w:gridCol w:w="2089"/>
        <w:gridCol w:w="1751"/>
        <w:gridCol w:w="1760"/>
        <w:gridCol w:w="226"/>
        <w:gridCol w:w="586"/>
        <w:gridCol w:w="271"/>
        <w:gridCol w:w="109"/>
        <w:gridCol w:w="109"/>
        <w:gridCol w:w="109"/>
        <w:gridCol w:w="244"/>
        <w:gridCol w:w="764"/>
        <w:gridCol w:w="293"/>
        <w:gridCol w:w="109"/>
        <w:gridCol w:w="109"/>
        <w:gridCol w:w="109"/>
        <w:gridCol w:w="226"/>
        <w:gridCol w:w="586"/>
        <w:gridCol w:w="271"/>
        <w:gridCol w:w="109"/>
        <w:gridCol w:w="109"/>
        <w:gridCol w:w="109"/>
        <w:gridCol w:w="157"/>
      </w:tblGrid>
      <w:tr>
        <w:trPr/>
        <w:tc>
          <w:tcPr>
            <w:tcW w:w="208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Net income attributable to Artisan Partners Asset Management Inc. (GAAP)</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94.8 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income attributable to noncontrolling interests - Artisan Partners Holdings LP</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Provision for income taxes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investment (gain) loss of investment products attributable to APAM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(9.7)</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Less: Adjusted provision for income taxes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net income (Non-GAAP)</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Average shares outstanding</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Class A common shares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Assumed vesting or exchange of:</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Unvested restricted share-based awards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Holdings LP units outstanding (noncontrolling interest)</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shares</w:t>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Basic earnings per share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Diluted earnings per share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net income per adjusted share (Non-GAAP)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income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131.5 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operating income (Non-GAAP)</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134.8 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margin (GAAP)</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39.2 </w:t>
            </w:r>
          </w:p>
        </w:tc>
        <w:tc>
          <w:tcPr>
            <w:tcW w:w="293"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operating margin (Non-GAAP)</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40.2 </w:t>
            </w:r>
          </w:p>
        </w:tc>
        <w:tc>
          <w:tcPr>
            <w:tcW w:w="293"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Net income attributable to Artisan Partners Asset Management Inc.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income attributable to noncontrolling interests - Artisan Partners Holdings LP</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investment (gain) loss of investment products attributable to APAM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(9.7)</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Interest expense</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Provision for income taxes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Depreciation and amortization</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EBITDA (Non-GAAP)</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139.9 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93.6 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7</w:t>
                      </w:r>
                    </w:p>
                  </w:txbxContent>
                </v:textbox>
                <w10:wrap type="none"/>
              </v:rect>
            </w:pict>
          </mc:Fallback>
        </mc:AlternateConten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Supplemental Non-GAAP Financial Information</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Company's management uses non-GAAP measures (referred to as “adjusted” measures) of net income to evaluate the profitability and efficiency of the underlying operations of the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non-recurring expenses (if any) and (5) adjustments to deferred taxes as a result of the enactment of tax laws (if any). These adjusted measures also remove the non-operational complexities of the Company's structure by adding back noncontrolling interests and assuming all income of Artisan Partners Holdings is allocated to APAM. Management believes these non-GAAP measures provide meaningful information to analyze the Company's profitability and efficiency between periods and over time. The Company has included these non-GAAP measures to provide investors with the same financial metrics used by management to manage the Company.</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Non-GAAP measures should be considered in addition to, and not as a substitute for, financial measures prepared in accordance with GAAP. The Company's non-GAAP measures may differ from similar measures used by other companies, even if similar terms are used to identify such measures. The Company's non-GAAP measures are as follows:</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net income</w:t>
      </w:r>
      <w:r>
        <w:rPr>
          <w:color w:val="000000"/>
        </w:rPr>
        <w:t xml:space="preserve"> </w:t>
      </w:r>
      <w:r>
        <w:rPr>
          <w:rFonts w:ascii="Myriad Pro Light;sans-serif" w:hAnsi="Myriad Pro Light;sans-serif"/>
          <w:b w:val="false"/>
          <w:color w:val="000000"/>
          <w:sz w:val="20"/>
        </w:rPr>
        <w:t>represents net income excluding the impact of (1) net gain (loss) on the tax receivable agreements (if any), (2) compensation expense (reversal) related to market valuation changes in compensation plans, (3) net investment gain (loss) of investment products, (4) non-recurring expenses (if any) and (5) adjustments to deferred taxes as a result of the enactment of tax laws (if any).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net income per adjusted share</w:t>
      </w:r>
      <w:r>
        <w:rPr>
          <w:color w:val="000000"/>
        </w:rPr>
        <w:t xml:space="preserve"> </w:t>
      </w:r>
      <w:r>
        <w:rPr>
          <w:rFonts w:ascii="Myriad Pro Light;sans-serif" w:hAnsi="Myriad Pro Light;sans-serif"/>
          <w:b w:val="false"/>
          <w:color w:val="000000"/>
          <w:sz w:val="20"/>
        </w:rPr>
        <w:t xml:space="preserve">is calculated by dividing adjusted net income by adjusted shares. The number of adjusted shares is derived by assuming the vesting of all unvested Class A share-based awards and the exchange of all outstanding limited partnership units of Artisan Partners Holdings for Class A common stock of APAM on a one-for-one basis. </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operating income</w:t>
      </w:r>
      <w:r>
        <w:rPr>
          <w:color w:val="000000"/>
        </w:rPr>
        <w:t xml:space="preserve"> </w:t>
      </w:r>
      <w:r>
        <w:rPr>
          <w:rFonts w:ascii="Myriad Pro Light;sans-serif" w:hAnsi="Myriad Pro Light;sans-serif"/>
          <w:b w:val="false"/>
          <w:color w:val="000000"/>
          <w:sz w:val="20"/>
        </w:rPr>
        <w:t>represents the operating income of the consolidated company excluding compensation expense related to market valuation changes in compensation plans and non-recurring expenses.</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operating margin</w:t>
      </w:r>
      <w:r>
        <w:rPr>
          <w:color w:val="000000"/>
        </w:rPr>
        <w:t xml:space="preserve"> </w:t>
      </w:r>
      <w:r>
        <w:rPr>
          <w:rFonts w:ascii="Myriad Pro Light;sans-serif" w:hAnsi="Myriad Pro Light;sans-serif"/>
          <w:b w:val="false"/>
          <w:color w:val="000000"/>
          <w:sz w:val="20"/>
        </w:rPr>
        <w:t>is calculated by dividing adjusted operating income by total revenues.</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EBITDA</w:t>
      </w:r>
      <w:r>
        <w:rPr>
          <w:color w:val="000000"/>
        </w:rPr>
        <w:t xml:space="preserve"> </w:t>
      </w:r>
      <w:r>
        <w:rPr>
          <w:rFonts w:ascii="Myriad Pro Light;sans-serif" w:hAnsi="Myriad Pro Light;sans-serif"/>
          <w:b w:val="false"/>
          <w:color w:val="000000"/>
          <w:sz w:val="20"/>
        </w:rPr>
        <w:t>represents adjusted net income before interest expense, income taxes, depreciation and amortization expense.</w:t>
      </w:r>
    </w:p>
    <w:p>
      <w:pPr>
        <w:pStyle w:val="TextBody"/>
        <w:bidi w:val="0"/>
        <w:spacing w:lineRule="auto" w:line="288" w:before="180" w:after="120"/>
        <w:jc w:val="left"/>
        <w:rPr/>
      </w:pPr>
      <w:r>
        <w:rPr>
          <w:rFonts w:ascii="Myriad Pro Light;sans-serif" w:hAnsi="Myriad Pro Light;sans-serif"/>
          <w:b w:val="false"/>
          <w:i/>
          <w:color w:val="000000"/>
          <w:sz w:val="20"/>
        </w:rPr>
        <w:t xml:space="preserve">Net gain (loss) on the tax receivable agreements </w:t>
      </w:r>
      <w:r>
        <w:rPr>
          <w:rFonts w:ascii="Myriad Pro Light;sans-serif" w:hAnsi="Myriad Pro Light;sans-serif"/>
          <w:b w:val="false"/>
          <w:color w:val="000000"/>
          <w:sz w:val="20"/>
        </w:rPr>
        <w:t>represents the income (expense) associated with the change in estimate of amounts payable under the tax receivable agreements entered into in connection with APAM’s initial public offering and related reorganization.</w:t>
      </w:r>
    </w:p>
    <w:p>
      <w:pPr>
        <w:pStyle w:val="TextBody"/>
        <w:bidi w:val="0"/>
        <w:spacing w:lineRule="auto" w:line="288" w:before="180" w:after="120"/>
        <w:jc w:val="left"/>
        <w:rPr/>
      </w:pPr>
      <w:r>
        <w:rPr>
          <w:rFonts w:ascii="Myriad Pro Light;sans-serif" w:hAnsi="Myriad Pro Light;sans-serif"/>
          <w:b w:val="false"/>
          <w:i/>
          <w:color w:val="000000"/>
          <w:sz w:val="20"/>
        </w:rPr>
        <w:t xml:space="preserve">Compensation expense (reversal) related to market valuation changes in compensation plans </w:t>
      </w:r>
      <w:r>
        <w:rPr>
          <w:rFonts w:ascii="Myriad Pro Light;sans-serif" w:hAnsi="Myriad Pro Light;sans-serif"/>
          <w:b w:val="false"/>
          <w:color w:val="000000"/>
          <w:sz w:val="20"/>
        </w:rPr>
        <w:t>represents the expense (income) associated with the change in the long-term incentive award liability resulting from investment returns of the underlying investment products. Because the compensation expense impact of the investment market exposure is economically hedged, management believes it is useful to reflect the expected net income offset in the calculation of adjusted operating income, adjusted net income, and adjusted EBITDA. The related investment gain (loss) on the underlying investments is included in the adjustment for net investment gain (loss) of investment products.</w:t>
      </w:r>
    </w:p>
    <w:p>
      <w:pPr>
        <w:pStyle w:val="TextBody"/>
        <w:bidi w:val="0"/>
        <w:spacing w:lineRule="auto" w:line="288" w:before="180" w:after="120"/>
        <w:jc w:val="left"/>
        <w:rPr/>
      </w:pPr>
      <w:r>
        <w:rPr>
          <w:rFonts w:ascii="Myriad Pro Light;sans-serif" w:hAnsi="Myriad Pro Light;sans-serif"/>
          <w:b w:val="false"/>
          <w:i/>
          <w:color w:val="000000"/>
          <w:sz w:val="20"/>
        </w:rPr>
        <w:t xml:space="preserve">Net investment gain (loss) of investment products </w:t>
      </w:r>
      <w:r>
        <w:rPr>
          <w:rFonts w:ascii="Myriad Pro Light;sans-serif" w:hAnsi="Myriad Pro Light;sans-serif"/>
          <w:b w:val="false"/>
          <w:color w:val="000000"/>
          <w:sz w:val="20"/>
        </w:rPr>
        <w:t>represents the non-operating income (expense) related to the Company’s investments, in both consolidated sponsored investment products and nonconsolidated sponsored investment products, including investments in sponsored investment products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pStyle w:val="TextBody"/>
        <w:bidi w:val="0"/>
        <w:spacing w:lineRule="auto" w:line="288" w:before="180" w:after="120"/>
        <w:jc w:val="left"/>
        <w:rPr/>
      </w:pPr>
      <w:r>
        <w:rPr>
          <w:rFonts w:ascii="Myriad Pro Light;sans-serif" w:hAnsi="Myriad Pro Light;sans-serif"/>
          <w:b w:val="false"/>
          <w:i/>
          <w:color w:val="000000"/>
          <w:sz w:val="20"/>
        </w:rPr>
        <w:t>Non-recurring expenses (if any)</w:t>
      </w:r>
      <w:r>
        <w:rPr>
          <w:color w:val="000000"/>
        </w:rPr>
        <w:t xml:space="preserve"> </w:t>
      </w:r>
      <w:r>
        <w:rPr>
          <w:rFonts w:ascii="Myriad Pro Light;sans-serif" w:hAnsi="Myriad Pro Light;sans-serif"/>
          <w:b w:val="false"/>
          <w:color w:val="000000"/>
          <w:sz w:val="20"/>
        </w:rPr>
        <w:t>represents non-recurring professional fees that are not reflective of core operations.</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Adjustments to income tax expense as a result of the enactment of tax laws (if any) relates to the remeasurement of deferred tax assets upon enactment.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3</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Condensed Consolidated Statements of Financial Condition</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p>
      <w:pPr>
        <w:pStyle w:val="TextBody"/>
        <w:bidi w:val="0"/>
        <w:spacing w:before="0" w:after="0"/>
        <w:jc w:val="center"/>
        <w:rPr/>
      </w:pPr>
      <w:r>
        <w:rPr/>
      </w:r>
    </w:p>
    <w:p>
      <w:pPr>
        <w:pStyle w:val="TextBody"/>
        <w:bidi w:val="0"/>
        <w:spacing w:before="0" w:after="0"/>
        <w:jc w:val="center"/>
        <w:rPr/>
      </w:pPr>
      <w:r>
        <w:rPr/>
      </w:r>
    </w:p>
    <w:tbl>
      <w:tblPr>
        <w:tblW w:w="10052" w:type="dxa"/>
        <w:jc w:val="center"/>
        <w:tblInd w:w="0" w:type="dxa"/>
        <w:tblLayout w:type="fixed"/>
        <w:tblCellMar>
          <w:top w:w="28" w:type="dxa"/>
          <w:left w:w="28" w:type="dxa"/>
          <w:bottom w:w="28" w:type="dxa"/>
          <w:right w:w="28" w:type="dxa"/>
        </w:tblCellMar>
      </w:tblPr>
      <w:tblGrid>
        <w:gridCol w:w="2560"/>
        <w:gridCol w:w="2250"/>
        <w:gridCol w:w="2254"/>
        <w:gridCol w:w="226"/>
        <w:gridCol w:w="886"/>
        <w:gridCol w:w="109"/>
        <w:gridCol w:w="109"/>
        <w:gridCol w:w="109"/>
        <w:gridCol w:w="109"/>
        <w:gridCol w:w="257"/>
        <w:gridCol w:w="1008"/>
        <w:gridCol w:w="175"/>
      </w:tblGrid>
      <w:tr>
        <w:trPr/>
        <w:tc>
          <w:tcPr>
            <w:tcW w:w="256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As of</w:t>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December 31,</w:t>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r>
      <w:tr>
        <w:trPr/>
        <w:tc>
          <w:tcPr>
            <w:tcW w:w="100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Assets</w:t>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Cash and cash equivalents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214.4 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Accounts receivable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Investment securities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228.0 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Myriad Pro Light;sans-serif" w:hAnsi="Myriad Pro Light;sans-serif"/>
                <w:b w:val="false"/>
                <w:color w:val="000000"/>
                <w:sz w:val="18"/>
              </w:rPr>
            </w:pPr>
            <w:r>
              <w:rPr>
                <w:rFonts w:ascii="Myriad Pro Light;sans-serif" w:hAnsi="Myriad Pro Light;sans-serif"/>
                <w:b w:val="false"/>
                <w:color w:val="000000"/>
                <w:sz w:val="18"/>
              </w:rPr>
              <w:t>Deferred tax assets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354.7 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color w:val="000000"/>
                <w:sz w:val="18"/>
              </w:rPr>
            </w:pPr>
            <w:r>
              <w:rPr>
                <w:rFonts w:ascii="Myriad Pro Light;sans-serif" w:hAnsi="Myriad Pro Light;sans-serif"/>
                <w:b/>
                <w:color w:val="000000"/>
                <w:sz w:val="18"/>
              </w:rPr>
              <w:t>Goodwill</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color w:val="000000"/>
                <w:sz w:val="18"/>
              </w:rPr>
            </w:pPr>
            <w:r>
              <w:rPr>
                <w:rFonts w:ascii="Myriad Pro Light;sans-serif" w:hAnsi="Myriad Pro Light;sans-serif"/>
                <w:b/>
                <w:color w:val="000000"/>
                <w:sz w:val="18"/>
              </w:rPr>
              <w:t>Other intangible assets,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Myriad Pro Light;sans-serif" w:hAnsi="Myriad Pro Light;sans-serif"/>
                <w:b w:val="false"/>
                <w:color w:val="000000"/>
                <w:sz w:val="18"/>
              </w:rPr>
            </w:pPr>
            <w:r>
              <w:rPr>
                <w:rFonts w:ascii="Myriad Pro Light;sans-serif" w:hAnsi="Myriad Pro Light;sans-serif"/>
                <w:b w:val="false"/>
                <w:color w:val="000000"/>
                <w:sz w:val="18"/>
              </w:rPr>
              <w:t>Assets of consolidated investment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462.0 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lease assets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Other</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assets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1,440.4 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1,577.3 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Liabilities and equity</w:t>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Accounts payable, accrued expenses and other</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Accrued short-term incentive compensation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Accrued long-term incentive compensation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Contingent consideration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lease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120.9 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Borrowings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Amounts payable under tax receivable agreements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Liabilities of consolidated investment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Total liabilities</w:t>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794.9 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Redeemable noncontrolling interests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304.3 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Total stockholders’ equity</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478.1 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liabilities, redeemable noncontrolling interests and stockholders’ equity</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1,440.4 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1,577.3 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4</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xml:space="preserve">Assets Under Management by Investment Team and Vehicle </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tbl>
      <w:tblPr>
        <w:tblW w:w="15291" w:type="dxa"/>
        <w:jc w:val="center"/>
        <w:tblInd w:w="0" w:type="dxa"/>
        <w:tblLayout w:type="fixed"/>
        <w:tblCellMar>
          <w:top w:w="28" w:type="dxa"/>
          <w:left w:w="28" w:type="dxa"/>
          <w:bottom w:w="28" w:type="dxa"/>
          <w:right w:w="28" w:type="dxa"/>
        </w:tblCellMar>
      </w:tblPr>
      <w:tblGrid>
        <w:gridCol w:w="722"/>
        <w:gridCol w:w="353"/>
        <w:gridCol w:w="231"/>
        <w:gridCol w:w="109"/>
        <w:gridCol w:w="109"/>
        <w:gridCol w:w="109"/>
        <w:gridCol w:w="211"/>
        <w:gridCol w:w="721"/>
        <w:gridCol w:w="109"/>
        <w:gridCol w:w="211"/>
        <w:gridCol w:w="721"/>
        <w:gridCol w:w="109"/>
        <w:gridCol w:w="211"/>
        <w:gridCol w:w="616"/>
        <w:gridCol w:w="109"/>
        <w:gridCol w:w="237"/>
        <w:gridCol w:w="811"/>
        <w:gridCol w:w="123"/>
        <w:gridCol w:w="211"/>
        <w:gridCol w:w="721"/>
        <w:gridCol w:w="109"/>
        <w:gridCol w:w="243"/>
        <w:gridCol w:w="711"/>
        <w:gridCol w:w="127"/>
        <w:gridCol w:w="211"/>
        <w:gridCol w:w="721"/>
        <w:gridCol w:w="109"/>
        <w:gridCol w:w="236"/>
        <w:gridCol w:w="691"/>
        <w:gridCol w:w="124"/>
        <w:gridCol w:w="211"/>
        <w:gridCol w:w="616"/>
        <w:gridCol w:w="109"/>
        <w:gridCol w:w="263"/>
        <w:gridCol w:w="770"/>
        <w:gridCol w:w="138"/>
        <w:gridCol w:w="211"/>
        <w:gridCol w:w="616"/>
        <w:gridCol w:w="109"/>
        <w:gridCol w:w="274"/>
        <w:gridCol w:w="605"/>
        <w:gridCol w:w="142"/>
        <w:gridCol w:w="211"/>
        <w:gridCol w:w="82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By Investment Team</w:t>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Growth</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Global Equity</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U.S. Value</w:t>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International Value Group</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Global Value</w:t>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Sustainable Emerging Markets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Credit</w:t>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Developing World</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Antero Peak Group</w:t>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International Small-Mid</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EMsights Capital Group</w:t>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Grandview Property Partners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Total</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54,010 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(3,603)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(643)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(609)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(12,305)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(1,469)</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(385)</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(420)</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(3,117)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(4,576)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15,849 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51,743 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35,804 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2,781 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15,530 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3,145 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4,332 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Average assets under management</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30,346 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16,729 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7,878 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54,979 </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37,676 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2,831 </w:t>
            </w:r>
          </w:p>
        </w:tc>
        <w:tc>
          <w:tcPr>
            <w:tcW w:w="1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15,403 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3,894 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2,484 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4,657 </w:t>
            </w:r>
          </w:p>
        </w:tc>
        <w:tc>
          <w:tcPr>
            <w:tcW w:w="13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4,656 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890 </w:t>
            </w:r>
          </w:p>
        </w:tc>
        <w:tc>
          <w:tcPr>
            <w:tcW w:w="14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182,403 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52,656 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2,355 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4,962 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5,065 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2,113 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(6,248)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(2,301)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(13,333)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(188)</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(218)</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(243)</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(5,630)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5,763 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15,907 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54,010 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2,537 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4,913 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34,770 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15,730 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7,713 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53,285 </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35,932 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2,468 </w:t>
            </w:r>
          </w:p>
        </w:tc>
        <w:tc>
          <w:tcPr>
            <w:tcW w:w="1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14,600 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4,715 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2,523 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4,997 </w:t>
            </w:r>
          </w:p>
        </w:tc>
        <w:tc>
          <w:tcPr>
            <w:tcW w:w="13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4,156 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180,889 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44,295 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1,552 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6,544 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(1,986)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(1,270)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(9,854)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(1,116)</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(2,840)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34,669 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47,486 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12,434 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4,147 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5,353 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162,390 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38,677 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13,708 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7,700 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46,495 </w:t>
            </w:r>
          </w:p>
        </w:tc>
        <w:tc>
          <w:tcPr>
            <w:tcW w:w="1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30,385 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1,614 </w:t>
            </w:r>
          </w:p>
        </w:tc>
        <w:tc>
          <w:tcPr>
            <w:tcW w:w="12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12,252 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4,287 </w:t>
            </w:r>
          </w:p>
        </w:tc>
        <w:tc>
          <w:tcPr>
            <w:tcW w:w="12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2,259 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6,260 </w:t>
            </w:r>
          </w:p>
        </w:tc>
        <w:tc>
          <w:tcPr>
            <w:tcW w:w="13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3,106 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166,743 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4</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71270"/>
                <wp:effectExtent l="0" t="0" r="0" b="0"/>
                <wp:wrapNone/>
                <wp:docPr id="16" name="Frame14"/>
                <a:graphic xmlns:a="http://schemas.openxmlformats.org/drawingml/2006/main">
                  <a:graphicData uri="http://schemas.microsoft.com/office/word/2010/wordprocessingShape">
                    <wps:wsp>
                      <wps:cNvSpPr txBox="1"/>
                      <wps:spPr>
                        <a:xfrm>
                          <a:off x="0" y="0"/>
                          <a:ext cx="6480175" cy="127127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Represents the closing of Grandview Property Partners acquisition.</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Artisan Funds' distributions not reinvested represents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 xml:space="preserve">For Grandview Property Partners, average assets under management is for the period beginning January 2, 2026, when the team was acquired. </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0.1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Represents the closing of Grandview Property Partners acquisition.</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Artisan Funds' distributions not reinvested represents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 xml:space="preserve">For Grandview Property Partners, average assets under management is for the period beginning January 2, 2026, when the team was acquired. </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xml:space="preserve">Assets Under Management by Investment Team and Vehicle </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tbl>
      <w:tblPr>
        <w:tblW w:w="10205" w:type="dxa"/>
        <w:jc w:val="center"/>
        <w:tblInd w:w="0" w:type="dxa"/>
        <w:tblLayout w:type="fixed"/>
        <w:tblCellMar>
          <w:top w:w="28" w:type="dxa"/>
          <w:left w:w="28" w:type="dxa"/>
          <w:bottom w:w="28" w:type="dxa"/>
          <w:right w:w="28" w:type="dxa"/>
        </w:tblCellMar>
      </w:tblPr>
      <w:tblGrid>
        <w:gridCol w:w="1245"/>
        <w:gridCol w:w="1060"/>
        <w:gridCol w:w="1052"/>
        <w:gridCol w:w="109"/>
        <w:gridCol w:w="109"/>
        <w:gridCol w:w="109"/>
        <w:gridCol w:w="585"/>
        <w:gridCol w:w="2002"/>
        <w:gridCol w:w="302"/>
        <w:gridCol w:w="494"/>
        <w:gridCol w:w="1689"/>
        <w:gridCol w:w="254"/>
        <w:gridCol w:w="211"/>
        <w:gridCol w:w="826"/>
        <w:gridCol w:w="158"/>
      </w:tblGrid>
      <w:tr>
        <w:trPr/>
        <w:tc>
          <w:tcPr>
            <w:tcW w:w="12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By Vehicle</w:t>
            </w:r>
          </w:p>
        </w:tc>
      </w:tr>
      <w:tr>
        <w:trPr/>
        <w:tc>
          <w:tcPr>
            <w:tcW w:w="3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Artisan Funds &amp; Artisan Global Funds</w:t>
            </w:r>
          </w:p>
        </w:tc>
        <w:tc>
          <w:tcPr>
            <w:tcW w:w="2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Myriad Pro;sans-serif" w:hAnsi="Myriad Pro;sans-serif"/>
                <w:b w:val="false"/>
                <w:color w:val="000000"/>
                <w:sz w:val="16"/>
              </w:rPr>
              <w:t xml:space="preserve">Separate Accounts and Other </w:t>
            </w:r>
            <w:r>
              <w:rPr>
                <w:rFonts w:ascii="Myriad Pro;sans-serif" w:hAnsi="Myriad Pro;sans-serif"/>
                <w:b w:val="false"/>
                <w:color w:val="000000"/>
                <w:sz w:val="10"/>
              </w:rPr>
              <w:t>1</w:t>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Total</w:t>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March 31, 2026</w:t>
            </w:r>
          </w:p>
        </w:tc>
        <w:tc>
          <w:tcPr>
            <w:tcW w:w="68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87,875 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92,053 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6,353 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2,835 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(7,424)</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(4,881)</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(12,305)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(1,071)</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(2,046)</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(3,117)</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9"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(2,211)</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(2,365)</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(4,576)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Net transfers</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84,459 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88,522 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89,171 </w:t>
            </w:r>
          </w:p>
        </w:tc>
        <w:tc>
          <w:tcPr>
            <w:tcW w:w="30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93,232 </w:t>
            </w:r>
          </w:p>
        </w:tc>
        <w:tc>
          <w:tcPr>
            <w:tcW w:w="2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182,403 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December 31, 2025</w:t>
            </w:r>
          </w:p>
        </w:tc>
        <w:tc>
          <w:tcPr>
            <w:tcW w:w="68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88,040 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93,266 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181,306 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5,261 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2,442 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(6,529)</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(6,804)</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(13,333)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(1,268)</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(4,362)</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(5,630)</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9"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(1,511)</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2,542 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3,221 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5,763 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Net transfers</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(72)</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87,875 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92,053 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87,827 </w:t>
            </w:r>
          </w:p>
        </w:tc>
        <w:tc>
          <w:tcPr>
            <w:tcW w:w="30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93,062 </w:t>
            </w:r>
          </w:p>
        </w:tc>
        <w:tc>
          <w:tcPr>
            <w:tcW w:w="2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180,889 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March 31, 2025</w:t>
            </w:r>
          </w:p>
        </w:tc>
        <w:tc>
          <w:tcPr>
            <w:tcW w:w="68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77,614 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83,594 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161,208 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5,019 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1,995 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7,014 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(5,588)</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(4,266)</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(9,854)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(569)</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(2,271)</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(2,840)</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9"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(116)</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2,318 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4,138 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Net transfers</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79,220 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83,170 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162,390 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80,446 </w:t>
            </w:r>
          </w:p>
        </w:tc>
        <w:tc>
          <w:tcPr>
            <w:tcW w:w="3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8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86,297 </w:t>
            </w:r>
          </w:p>
        </w:tc>
        <w:tc>
          <w:tcPr>
            <w:tcW w:w="2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166,743 </w:t>
            </w:r>
          </w:p>
        </w:tc>
        <w:tc>
          <w:tcPr>
            <w:tcW w:w="1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5</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75790"/>
                <wp:effectExtent l="0" t="0" r="0" b="0"/>
                <wp:wrapNone/>
                <wp:docPr id="17" name="Frame15"/>
                <a:graphic xmlns:a="http://schemas.openxmlformats.org/drawingml/2006/main">
                  <a:graphicData uri="http://schemas.microsoft.com/office/word/2010/wordprocessingShape">
                    <wps:wsp>
                      <wps:cNvSpPr txBox="1"/>
                      <wps:spPr>
                        <a:xfrm>
                          <a:off x="0" y="0"/>
                          <a:ext cx="6480175" cy="1875790"/>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before="0" w:after="0"/>
                              <w:jc w:val="left"/>
                              <w:rPr/>
                            </w:pPr>
                            <w:r>
                              <w:rPr/>
                            </w:r>
                          </w:p>
                          <w:p>
                            <w:pPr>
                              <w:pStyle w:val="TextBody"/>
                              <w:bidi w:val="0"/>
                              <w:spacing w:lineRule="auto" w:line="26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 xml:space="preserve">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 </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closing of Grandview Property Partners acquisition.</w:t>
                            </w:r>
                          </w:p>
                          <w:p>
                            <w:pPr>
                              <w:pStyle w:val="TextBody"/>
                              <w:bidi w:val="0"/>
                              <w:spacing w:lineRule="auto" w:line="276" w:before="0" w:after="0"/>
                              <w:jc w:val="left"/>
                              <w:rPr/>
                            </w:pPr>
                            <w:r>
                              <w:rPr>
                                <w:rFonts w:ascii="Myriad Pro Light;sans-serif" w:hAnsi="Myriad Pro Light;sans-serif"/>
                                <w:b w:val="false"/>
                                <w:color w:val="000000"/>
                                <w:sz w:val="10"/>
                              </w:rPr>
                              <w:t xml:space="preserve">3 </w:t>
                            </w:r>
                            <w:r>
                              <w:rPr>
                                <w:rFonts w:ascii="Myriad Pro Light;sans-serif" w:hAnsi="Myriad Pro Light;sans-serif"/>
                                <w:b w:val="false"/>
                                <w:color w:val="000000"/>
                                <w:sz w:val="16"/>
                              </w:rPr>
                              <w:t>Artisan Funds' distributions not reinvested represents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 xml:space="preserve">4 </w:t>
                            </w:r>
                            <w:r>
                              <w:rPr>
                                <w:rFonts w:ascii="Myriad Pro Light;sans-serif" w:hAnsi="Myriad Pro Light;sans-serif"/>
                                <w:b w:val="false"/>
                                <w:color w:val="000000"/>
                                <w:sz w:val="16"/>
                              </w:rPr>
                              <w:t>Net transfers represent certain amounts that we have identified as having been transferred out of one investment strategy, investment vehicle, or account and into another strategy, vehicle, or account.</w:t>
                            </w:r>
                          </w:p>
                          <w:p>
                            <w:pPr>
                              <w:pStyle w:val="TextBody"/>
                              <w:bidi w:val="0"/>
                              <w:spacing w:lineRule="auto" w:line="276"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7.7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before="0" w:after="0"/>
                        <w:jc w:val="left"/>
                        <w:rPr/>
                      </w:pPr>
                      <w:r>
                        <w:rPr/>
                      </w:r>
                    </w:p>
                    <w:p>
                      <w:pPr>
                        <w:pStyle w:val="TextBody"/>
                        <w:bidi w:val="0"/>
                        <w:spacing w:lineRule="auto" w:line="26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 xml:space="preserve">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 </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closing of Grandview Property Partners acquisition.</w:t>
                      </w:r>
                    </w:p>
                    <w:p>
                      <w:pPr>
                        <w:pStyle w:val="TextBody"/>
                        <w:bidi w:val="0"/>
                        <w:spacing w:lineRule="auto" w:line="276" w:before="0" w:after="0"/>
                        <w:jc w:val="left"/>
                        <w:rPr/>
                      </w:pPr>
                      <w:r>
                        <w:rPr>
                          <w:rFonts w:ascii="Myriad Pro Light;sans-serif" w:hAnsi="Myriad Pro Light;sans-serif"/>
                          <w:b w:val="false"/>
                          <w:color w:val="000000"/>
                          <w:sz w:val="10"/>
                        </w:rPr>
                        <w:t xml:space="preserve">3 </w:t>
                      </w:r>
                      <w:r>
                        <w:rPr>
                          <w:rFonts w:ascii="Myriad Pro Light;sans-serif" w:hAnsi="Myriad Pro Light;sans-serif"/>
                          <w:b w:val="false"/>
                          <w:color w:val="000000"/>
                          <w:sz w:val="16"/>
                        </w:rPr>
                        <w:t>Artisan Funds' distributions not reinvested represents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 xml:space="preserve">4 </w:t>
                      </w:r>
                      <w:r>
                        <w:rPr>
                          <w:rFonts w:ascii="Myriad Pro Light;sans-serif" w:hAnsi="Myriad Pro Light;sans-serif"/>
                          <w:b w:val="false"/>
                          <w:color w:val="000000"/>
                          <w:sz w:val="16"/>
                        </w:rPr>
                        <w:t>Net transfers represent certain amounts that we have identified as having been transferred out of one investment strategy, investment vehicle, or account and into another strategy, vehicle, or account.</w:t>
                      </w:r>
                    </w:p>
                    <w:p>
                      <w:pPr>
                        <w:pStyle w:val="TextBody"/>
                        <w:bidi w:val="0"/>
                        <w:spacing w:lineRule="auto" w:line="276"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Artisan Partners Asset Management Inc.</w:t>
      </w:r>
    </w:p>
    <w:p>
      <w:pPr>
        <w:pStyle w:val="TextBody"/>
        <w:bidi w:val="0"/>
        <w:spacing w:lineRule="auto" w:line="288" w:before="0" w:after="0"/>
        <w:jc w:val="center"/>
        <w:rPr/>
      </w:pPr>
      <w:r>
        <w:rPr>
          <w:rFonts w:ascii="Myriad Pro;sans-serif" w:hAnsi="Myriad Pro;sans-serif"/>
          <w:b w:val="false"/>
          <w:color w:val="000000"/>
          <w:sz w:val="16"/>
        </w:rPr>
        <w:t xml:space="preserve">Investment Strategy AUM and Gross Composite Performance </w:t>
      </w:r>
      <w:r>
        <w:rPr>
          <w:rFonts w:ascii="Myriad Pro;sans-serif" w:hAnsi="Myriad Pro;sans-serif"/>
          <w:b w:val="false"/>
          <w:color w:val="000000"/>
          <w:sz w:val="10"/>
        </w:rPr>
        <w:t>1</w:t>
      </w:r>
    </w:p>
    <w:p>
      <w:pPr>
        <w:pStyle w:val="TextBody"/>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 xml:space="preserve">As of March 31, 2026 </w:t>
      </w:r>
    </w:p>
    <w:p>
      <w:pPr>
        <w:pStyle w:val="TextBody"/>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896"/>
        <w:gridCol w:w="648"/>
        <w:gridCol w:w="652"/>
        <w:gridCol w:w="413"/>
        <w:gridCol w:w="413"/>
        <w:gridCol w:w="414"/>
        <w:gridCol w:w="109"/>
        <w:gridCol w:w="109"/>
        <w:gridCol w:w="109"/>
        <w:gridCol w:w="249"/>
        <w:gridCol w:w="851"/>
        <w:gridCol w:w="128"/>
        <w:gridCol w:w="109"/>
        <w:gridCol w:w="109"/>
        <w:gridCol w:w="109"/>
        <w:gridCol w:w="205"/>
        <w:gridCol w:w="205"/>
        <w:gridCol w:w="191"/>
        <w:gridCol w:w="204"/>
        <w:gridCol w:w="204"/>
        <w:gridCol w:w="190"/>
        <w:gridCol w:w="245"/>
        <w:gridCol w:w="216"/>
        <w:gridCol w:w="140"/>
        <w:gridCol w:w="204"/>
        <w:gridCol w:w="204"/>
        <w:gridCol w:w="190"/>
        <w:gridCol w:w="290"/>
        <w:gridCol w:w="290"/>
        <w:gridCol w:w="291"/>
        <w:gridCol w:w="109"/>
        <w:gridCol w:w="109"/>
        <w:gridCol w:w="109"/>
        <w:gridCol w:w="374"/>
        <w:gridCol w:w="374"/>
        <w:gridCol w:w="543"/>
      </w:tblGrid>
      <w:tr>
        <w:trPr/>
        <w:tc>
          <w:tcPr>
            <w:tcW w:w="8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Composite Inception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Myriad Pro;sans-serif" w:hAnsi="Myriad Pro;sans-serif"/>
                <w:b w:val="false"/>
                <w:color w:val="000000"/>
                <w:sz w:val="16"/>
              </w:rPr>
            </w:pPr>
            <w:r>
              <w:rPr>
                <w:rFonts w:ascii="Myriad Pro;sans-serif" w:hAnsi="Myriad Pro;sans-serif"/>
                <w:b w:val="false"/>
                <w:color w:val="000000"/>
                <w:sz w:val="16"/>
              </w:rPr>
              <w:t>Average Annual</w:t>
            </w:r>
          </w:p>
          <w:p>
            <w:pPr>
              <w:pStyle w:val="TableContents"/>
              <w:bidi w:val="0"/>
              <w:spacing w:lineRule="auto" w:line="240" w:before="0" w:after="0"/>
              <w:jc w:val="center"/>
              <w:rPr/>
            </w:pPr>
            <w:r>
              <w:rPr>
                <w:rFonts w:ascii="Myriad Pro;sans-serif" w:hAnsi="Myriad Pro;sans-serif"/>
                <w:b w:val="false"/>
                <w:color w:val="000000"/>
                <w:sz w:val="16"/>
              </w:rPr>
              <w:t xml:space="preserve">Value-Added </w:t>
            </w:r>
            <w:r>
              <w:rPr>
                <w:rFonts w:ascii="Myriad Pro;sans-serif" w:hAnsi="Myriad Pro;sans-serif"/>
                <w:b w:val="false"/>
                <w:color w:val="000000"/>
                <w:sz w:val="10"/>
              </w:rPr>
              <w:t>3</w:t>
            </w:r>
          </w:p>
          <w:p>
            <w:pPr>
              <w:pStyle w:val="TableContents"/>
              <w:bidi w:val="0"/>
              <w:spacing w:lineRule="auto" w:line="240" w:before="0" w:after="0"/>
              <w:jc w:val="center"/>
              <w:rPr>
                <w:rFonts w:ascii="Myriad Pro;sans-serif" w:hAnsi="Myriad Pro;sans-serif"/>
                <w:b w:val="false"/>
                <w:color w:val="000000"/>
                <w:sz w:val="16"/>
              </w:rPr>
            </w:pPr>
            <w:r>
              <w:rPr>
                <w:rFonts w:ascii="Myriad Pro;sans-serif" w:hAnsi="Myriad Pro;sans-serif"/>
                <w:b w:val="false"/>
                <w:color w:val="000000"/>
                <w:sz w:val="16"/>
              </w:rPr>
              <w:t>Since Inception</w:t>
            </w:r>
          </w:p>
          <w:p>
            <w:pPr>
              <w:pStyle w:val="TableContents"/>
              <w:bidi w:val="0"/>
              <w:spacing w:lineRule="auto" w:line="240" w:before="0" w:after="0"/>
              <w:jc w:val="center"/>
              <w:rPr>
                <w:rFonts w:ascii="Myriad Pro;sans-serif" w:hAnsi="Myriad Pro;sans-serif"/>
                <w:b w:val="false"/>
                <w:color w:val="000000"/>
                <w:sz w:val="16"/>
              </w:rPr>
            </w:pPr>
            <w:r>
              <w:rPr>
                <w:rFonts w:ascii="Myriad Pro;sans-serif" w:hAnsi="Myriad Pro;sans-serif"/>
                <w:b w:val="false"/>
                <w:color w:val="000000"/>
                <w:sz w:val="16"/>
              </w:rPr>
              <w:t>(bps)</w:t>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Myriad Pro;sans-serif" w:hAnsi="Myriad Pro;sans-serif"/>
                <w:b w:val="false"/>
                <w:color w:val="000000"/>
                <w:sz w:val="16"/>
              </w:rPr>
              <w:t>Strategy AUM (in $MM)</w:t>
            </w:r>
            <w:r>
              <w:rPr>
                <w:rFonts w:ascii="Myriad Pro;sans-serif" w:hAnsi="Myriad Pro;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Average Annual Total Returns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Investment Team and Strategy</w:t>
            </w:r>
          </w:p>
        </w:tc>
        <w:tc>
          <w:tcPr>
            <w:tcW w:w="12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1 YR</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3 YR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5 YR</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10 YR</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Growth Team</w:t>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Opportunities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14,340 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10.04%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11.68%</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4.64%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11.97%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335</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20.01%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16.56%</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9.48%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11.33%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Discovery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10.94%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11.37%</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4.90%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442</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Small Mid Cap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21.64%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13.06%</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5.86%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U.S. Mid-Cap Growth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9,364 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18.11%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2.60%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12.06%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439</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Midcap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15.98%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13.32%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7.26%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10.90%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Midcap Growth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9.56%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12.73%</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5.37%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11.68%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U.S. Small-Cap Growth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4/1/1995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2,642 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8.49%</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(0.93)%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12.25%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259</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2000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25.72%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13.03%</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3.77%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9.88%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2000 Growth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23.58%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12.25%</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9.78%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Franchise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17.39%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(389)</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20.01%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Global Equity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Equity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37.89%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23.85%</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390</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20.01%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16.56%</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9.48%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11.33%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Non-U.S. Growth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15,456 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29.92%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19.08%</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10.34%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467</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EAFE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21.27%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13.60%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7.91%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8.37%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U.S. Value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Value Equity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8.11%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13.38%</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10.12%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12.22%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118</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1000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17.74%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18.12%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11.33%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13.96%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1000 Value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15.87%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14.29%</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9.42%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10.57%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U.S. Mid-Cap Value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1,898 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5.58%</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3.77%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7.92%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154</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i/>
                <w:color w:val="000000"/>
                <w:sz w:val="16"/>
              </w:rPr>
              <w:t>Russell</w:t>
            </w:r>
            <w:r>
              <w:rPr>
                <w:rFonts w:ascii="Myriad Pro Light;sans-serif" w:hAnsi="Myriad Pro Light;sans-serif"/>
                <w:b w:val="false"/>
                <w:i/>
                <w:color w:val="000000"/>
                <w:sz w:val="10"/>
              </w:rPr>
              <w:t>®</w:t>
            </w:r>
            <w:r>
              <w:rPr>
                <w:color w:val="000000"/>
              </w:rPr>
              <w:t xml:space="preserve"> </w:t>
            </w:r>
            <w:r>
              <w:rPr>
                <w:rFonts w:ascii="Myriad Pro Light;sans-serif" w:hAnsi="Myriad Pro Light;sans-serif"/>
                <w:b w:val="false"/>
                <w:i/>
                <w:color w:val="000000"/>
                <w:sz w:val="16"/>
              </w:rPr>
              <w:t>Midcap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15.98%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13.32%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7.26%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10.90%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Midcap Value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17.62%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13.13%</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7.94%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9.75%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Value Income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10.34%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11.56%</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(525)</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17.80%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18.30%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International Value Group</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International Value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50,680 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16.07%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14.04%</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10.79%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10.95%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508</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EAFE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21.27%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13.60%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7.91%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8.37%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International Explorer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16.75%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12.20%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9.24%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446</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 Ex USA Small Cap</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27.82%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13.66%</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5.66%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Special Situations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9.01%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157</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Global High Yield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7.44%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Global Value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Value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34,861 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20.28%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19.47%</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11.77%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11.90%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296</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20.01%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16.56%</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9.48%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11.33%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Select Equity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943 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19.94%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19.48%</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11.25%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(103)</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17.80%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18.30%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12.06%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Sustainable Emerging Markets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Sustainable Emerging Markets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2,781 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37.88%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18.60%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5.68%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10.26%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115</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Emerging Markets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29.55%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14.82%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3.69%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7.79%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Credit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High Income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13,543 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6.86%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9.61%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5.65%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7.92%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225</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US High Yield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6.90%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8.49%</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4.19%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6.05%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Credit Opportunities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6.69%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15.39%</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1,014</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US Dollar 3-Month Deposit Offered Rate Constant Maturity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4.25%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4.93%</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3.43%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Floating Rate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6.26%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8.92%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80</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UBS Leveraged Loan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4.79%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8.02%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 xml:space="preserve">Custom Credit Solutions </w:t>
            </w:r>
            <w:r>
              <w:rPr>
                <w:rFonts w:ascii="Myriad Pro Light;sans-serif" w:hAnsi="Myriad Pro Light;sans-serif"/>
                <w:b w:val="false"/>
                <w:color w:val="000000"/>
                <w:sz w:val="10"/>
              </w:rPr>
              <w:t>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1,491 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5"/>
        <w:gridCol w:w="1041"/>
        <w:gridCol w:w="1046"/>
        <w:gridCol w:w="266"/>
        <w:gridCol w:w="266"/>
        <w:gridCol w:w="267"/>
        <w:gridCol w:w="109"/>
        <w:gridCol w:w="109"/>
        <w:gridCol w:w="109"/>
        <w:gridCol w:w="211"/>
        <w:gridCol w:w="826"/>
        <w:gridCol w:w="109"/>
        <w:gridCol w:w="109"/>
        <w:gridCol w:w="109"/>
        <w:gridCol w:w="109"/>
        <w:gridCol w:w="253"/>
        <w:gridCol w:w="253"/>
        <w:gridCol w:w="255"/>
        <w:gridCol w:w="226"/>
        <w:gridCol w:w="226"/>
        <w:gridCol w:w="212"/>
        <w:gridCol w:w="235"/>
        <w:gridCol w:w="218"/>
        <w:gridCol w:w="220"/>
        <w:gridCol w:w="220"/>
        <w:gridCol w:w="220"/>
        <w:gridCol w:w="222"/>
        <w:gridCol w:w="226"/>
        <w:gridCol w:w="226"/>
        <w:gridCol w:w="212"/>
        <w:gridCol w:w="109"/>
        <w:gridCol w:w="109"/>
        <w:gridCol w:w="109"/>
        <w:gridCol w:w="138"/>
        <w:gridCol w:w="138"/>
        <w:gridCol w:w="207"/>
      </w:tblGrid>
      <w:tr>
        <w:trPr/>
        <w:tc>
          <w:tcPr>
            <w:tcW w:w="12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Developing World Team</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Developing World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(11.92)%</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7.52%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(3.25)%</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10.60%</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318</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Emerging Markets Index</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29.55%</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14.82%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3.69%</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7.79%</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Antero Peak Group</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Antero Peak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18.96%</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20.54%</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10.73%</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405</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17.80%</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18.30%</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12.06%</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Antero Peak Hedge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16.36%</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18.32%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8.94%</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(58)</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17.80%</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18.30%</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12.06%</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International Small-Mid Team</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Non-U.S. Small-Mid Growth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17.52%</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6.77%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1.42%</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61</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 Ex USA Small Mid Cap</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27.77%</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14.17%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5.99%</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EMsights Capital Group</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Unconstrained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14.26%</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11.84%</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756</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3-month Treasury Bill Index</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4.00%</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4.73%</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Emerging Markets Debt Opportunities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14.71%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13.08%</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659</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J.P. Morgan EMB Hard Currency/Local Currency 50-50</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9.98%</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7.72%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Emerging Markets Local Opportunities Strategy</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17.80%</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10.79%</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396</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J.P. Morgan GBI-EM Global Diversified Index</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11.76%</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6.84%</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16"/>
              </w:rPr>
              <w:t xml:space="preserve">Grandview Property Partners </w:t>
            </w:r>
            <w:r>
              <w:rPr>
                <w:rFonts w:ascii="Myriad Pro;sans-serif" w:hAnsi="Myriad Pro;sans-serif"/>
                <w:b w:val="false"/>
                <w:color w:val="000000"/>
                <w:sz w:val="10"/>
              </w:rPr>
              <w:t>5</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Grandview Property Partners</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r>
      <w:tr>
        <w:trPr/>
        <w:tc>
          <w:tcPr>
            <w:tcW w:w="3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Total Assets Under Management</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88"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We measure the results of our “composites”, which represent the aggregate performance of all discretionary client accounts, including pooled investment vehicles, invested in the same strategy except those accounts with respect to which we believe client-imposed restrictions may have a material impact on portfolio construction and those accounts managed in a currency other than U.S. dollars (the results of these accounts, which represented approximately 18% of our assets under management at March 31, 2026, are maintained in separate composites, which are not presented in these materials). Returns for periods less than one year are not annualized.</w:t>
      </w:r>
    </w:p>
    <w:p>
      <w:pPr>
        <w:pStyle w:val="TextBody"/>
        <w:bidi w:val="0"/>
        <w:spacing w:lineRule="auto" w:line="288"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AUM for Artisan Sustainable Emerging Markets, U.S. Mid-Cap Growth, Value Equity and Global Value strategies includes $313.9 million in aggregate for which Artisan Partners provides investment models to managed account sponsors (generally reported on a lag not exceeding one quarter).</w:t>
      </w:r>
    </w:p>
    <w:p>
      <w:pPr>
        <w:pStyle w:val="TextBody"/>
        <w:bidi w:val="0"/>
        <w:spacing w:lineRule="auto" w:line="288" w:before="0" w:after="0"/>
        <w:jc w:val="left"/>
        <w:rPr/>
      </w:pPr>
      <w:r>
        <w:rPr>
          <w:rFonts w:ascii="Myriad Pro Light;sans-serif" w:hAnsi="Myriad Pro Light;sans-serif"/>
          <w:b w:val="false"/>
          <w:color w:val="000000"/>
          <w:sz w:val="10"/>
        </w:rPr>
        <w:t xml:space="preserve">3 </w:t>
      </w:r>
      <w:r>
        <w:rPr>
          <w:rFonts w:ascii="Myriad Pro Light;sans-serif" w:hAnsi="Myriad Pro Light;sans-serif"/>
          <w:b w:val="false"/>
          <w:color w:val="000000"/>
          <w:sz w:val="16"/>
        </w:rPr>
        <w:t>Value-added is the amount, in basis points, by which the average annual gross composite return of each of our strategies has outperformed or underperformed its</w:t>
      </w:r>
    </w:p>
    <w:p>
      <w:pPr>
        <w:pStyle w:val="TextBody"/>
        <w:bidi w:val="0"/>
        <w:spacing w:lineRule="auto" w:line="288" w:before="0" w:after="0"/>
        <w:jc w:val="left"/>
        <w:rPr>
          <w:rFonts w:ascii="Myriad Pro Light;sans-serif" w:hAnsi="Myriad Pro Light;sans-serif"/>
          <w:b w:val="false"/>
          <w:color w:val="000000"/>
          <w:sz w:val="16"/>
        </w:rPr>
      </w:pPr>
      <w:r>
        <w:rPr>
          <w:rFonts w:ascii="Myriad Pro Light;sans-serif" w:hAnsi="Myriad Pro Light;sans-serif"/>
          <w:b w:val="false"/>
          <w:color w:val="000000"/>
          <w:sz w:val="16"/>
        </w:rPr>
        <w:t>respective benchmark. See Forward-Looking Statements and Other Disclosures for further information on the benchmark indexes used. Value-added for periods less than</w:t>
      </w:r>
    </w:p>
    <w:p>
      <w:pPr>
        <w:pStyle w:val="TextBody"/>
        <w:bidi w:val="0"/>
        <w:spacing w:lineRule="auto" w:line="288" w:before="0" w:after="0"/>
        <w:jc w:val="left"/>
        <w:rPr>
          <w:rFonts w:ascii="Myriad Pro Light;sans-serif" w:hAnsi="Myriad Pro Light;sans-serif"/>
          <w:b w:val="false"/>
          <w:color w:val="000000"/>
          <w:sz w:val="16"/>
        </w:rPr>
      </w:pPr>
      <w:r>
        <w:rPr>
          <w:rFonts w:ascii="Myriad Pro Light;sans-serif" w:hAnsi="Myriad Pro Light;sans-serif"/>
          <w:b w:val="false"/>
          <w:color w:val="000000"/>
          <w:sz w:val="16"/>
        </w:rPr>
        <w:t>one year is not annualized.</w:t>
      </w:r>
    </w:p>
    <w:p>
      <w:pPr>
        <w:pStyle w:val="TextBody"/>
        <w:bidi w:val="0"/>
        <w:spacing w:lineRule="auto" w:line="288" w:before="0" w:after="0"/>
        <w:jc w:val="left"/>
        <w:rPr/>
      </w:pPr>
      <w:r>
        <w:rPr>
          <w:rFonts w:ascii="Myriad Pro Light;sans-serif" w:hAnsi="Myriad Pro Light;sans-serif"/>
          <w:b w:val="false"/>
          <w:color w:val="000000"/>
          <w:sz w:val="10"/>
        </w:rPr>
        <w:t xml:space="preserve">4 </w:t>
      </w:r>
      <w:r>
        <w:rPr>
          <w:rFonts w:ascii="Myriad Pro Light;sans-serif" w:hAnsi="Myriad Pro Light;sans-serif"/>
          <w:b w:val="false"/>
          <w:color w:val="000000"/>
          <w:sz w:val="16"/>
        </w:rPr>
        <w:t>Custom Credit Solutions represents assets managed by the Credit team within custom, investor-driven mandates for which there is no combined performance track record. A portion of these assets under management was previously reported under the High Income strategy.</w:t>
      </w:r>
    </w:p>
    <w:p>
      <w:pPr>
        <w:pStyle w:val="TextBody"/>
        <w:bidi w:val="0"/>
        <w:spacing w:lineRule="auto" w:line="288"/>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rPr>
        <w:t>Grandview Property Partners' AUM reflects assets managed across Grandview's flagship fund and co-investment program. Performance information for the Grandview Funds is not reported.</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7329</Words>
  <Characters>41232</Characters>
  <CharactersWithSpaces>47480</CharactersWithSpaces>
  <Paragraphs>1842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