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120" w:after="12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40"/>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180" w:after="180"/>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Pursuant to Section 13 OR 15(d) of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The Securities Exchange Act of 1934</w:t>
      </w:r>
    </w:p>
    <w:p>
      <w:pPr>
        <w:pStyle w:val="TextBody"/>
        <w:bidi w:val="0"/>
        <w:spacing w:lineRule="auto" w:line="288" w:before="120" w:after="12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October 9, 2026</w:t>
      </w:r>
    </w:p>
    <w:p>
      <w:pPr>
        <w:pStyle w:val="TextBody"/>
        <w:bidi w:val="0"/>
        <w:spacing w:lineRule="auto" w:line="288" w:before="240" w:after="283"/>
        <w:jc w:val="center"/>
        <w:rPr>
          <w:rFonts w:ascii="Times New Roman;serif" w:hAnsi="Times New Roman;serif"/>
          <w:b/>
          <w:color w:val="000000"/>
          <w:sz w:val="40"/>
        </w:rPr>
      </w:pPr>
      <w:r>
        <w:rPr>
          <w:rFonts w:ascii="Times New Roman;serif" w:hAnsi="Times New Roman;serif"/>
          <w:b/>
          <w:color w:val="000000"/>
          <w:sz w:val="40"/>
        </w:rPr>
        <w:t xml:space="preserve">Artisan Partners Asset Management Inc.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(Exact name of registrant as specified in its charter)</w:t>
      </w:r>
    </w:p>
    <w:tbl>
      <w:tblPr>
        <w:tblW w:w="5758" w:type="dxa"/>
        <w:jc w:val="center"/>
        <w:tblInd w:w="0" w:type="dxa"/>
        <w:tblLayout w:type="fixed"/>
        <w:tblCellMar>
          <w:top w:w="28" w:type="dxa"/>
          <w:left w:w="28" w:type="dxa"/>
          <w:bottom w:w="28" w:type="dxa"/>
          <w:right w:w="28" w:type="dxa"/>
        </w:tblCellMar>
      </w:tblPr>
      <w:tblGrid>
        <w:gridCol w:w="844"/>
        <w:gridCol w:w="745"/>
        <w:gridCol w:w="750"/>
        <w:gridCol w:w="165"/>
        <w:gridCol w:w="165"/>
        <w:gridCol w:w="165"/>
        <w:gridCol w:w="165"/>
        <w:gridCol w:w="165"/>
        <w:gridCol w:w="165"/>
        <w:gridCol w:w="165"/>
        <w:gridCol w:w="165"/>
        <w:gridCol w:w="165"/>
        <w:gridCol w:w="165"/>
        <w:gridCol w:w="165"/>
        <w:gridCol w:w="16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198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001-35826</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45-0969585</w:t>
            </w:r>
          </w:p>
        </w:tc>
      </w:tr>
      <w:tr>
        <w:trPr/>
        <w:tc>
          <w:tcPr>
            <w:tcW w:w="23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(State or other jurisdiction of</w:t>
              <w:br/>
              <w:t>incorporation or organization)</w:t>
            </w:r>
          </w:p>
        </w:tc>
        <w:tc>
          <w:tcPr>
            <w:tcW w:w="1980" w:type="dxa"/>
            <w:gridSpan w:val="12"/>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59" w:before="0" w:after="283"/>
              <w:jc w:val="center"/>
              <w:rPr>
                <w:rFonts w:ascii="Times New Roman;serif" w:hAnsi="Times New Roman;serif"/>
                <w:b w:val="false"/>
                <w:i/>
                <w:color w:val="000000"/>
                <w:sz w:val="18"/>
              </w:rPr>
            </w:pPr>
            <w:r>
              <w:rPr>
                <w:rFonts w:ascii="Times New Roman;serif" w:hAnsi="Times New Roman;serif"/>
                <w:b w:val="false"/>
                <w:i/>
                <w:color w:val="000000"/>
                <w:sz w:val="18"/>
              </w:rPr>
              <w:t>(I.R.S. Employer</w:t>
              <w:br/>
              <w:t>Identification No.)</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875 E. Wisconsin Avenue, Suite 800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Milwaukee, WI 53202 </w:t>
      </w:r>
    </w:p>
    <w:tbl>
      <w:tblPr>
        <w:tblW w:w="4508" w:type="dxa"/>
        <w:jc w:val="center"/>
        <w:tblInd w:w="0" w:type="dxa"/>
        <w:tblLayout w:type="fixed"/>
        <w:tblCellMar>
          <w:top w:w="28" w:type="dxa"/>
          <w:left w:w="28" w:type="dxa"/>
          <w:bottom w:w="28" w:type="dxa"/>
          <w:right w:w="28" w:type="dxa"/>
        </w:tblCellMar>
      </w:tblPr>
      <w:tblGrid>
        <w:gridCol w:w="124"/>
        <w:gridCol w:w="109"/>
        <w:gridCol w:w="109"/>
        <w:gridCol w:w="1263"/>
        <w:gridCol w:w="1263"/>
        <w:gridCol w:w="1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8"/>
              </w:rPr>
            </w:pPr>
            <w:r>
              <w:rPr>
                <w:rFonts w:ascii="Times New Roman;serif" w:hAnsi="Times New Roman;serif"/>
                <w:b w:val="false"/>
                <w:i/>
                <w:color w:val="000000"/>
                <w:sz w:val="18"/>
              </w:rPr>
              <w:t>(Address of principal executive offices and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59" w:before="0" w:after="0"/>
        <w:jc w:val="center"/>
        <w:rPr>
          <w:rFonts w:ascii="Times New Roman;serif" w:hAnsi="Times New Roman;serif"/>
          <w:b/>
          <w:color w:val="000000"/>
          <w:sz w:val="18"/>
        </w:rPr>
      </w:pPr>
      <w:r>
        <w:rPr>
          <w:rFonts w:ascii="Times New Roman;serif" w:hAnsi="Times New Roman;serif"/>
          <w:b/>
          <w:color w:val="000000"/>
          <w:sz w:val="18"/>
        </w:rPr>
        <w:t xml:space="preserve">(414) 390-6100 </w:t>
      </w:r>
    </w:p>
    <w:p>
      <w:pPr>
        <w:pStyle w:val="TextBody"/>
        <w:bidi w:val="0"/>
        <w:spacing w:lineRule="auto" w:line="259" w:before="0" w:after="0"/>
        <w:jc w:val="center"/>
        <w:rPr>
          <w:rFonts w:ascii="Times New Roman;serif" w:hAnsi="Times New Roman;serif"/>
          <w:b w:val="false"/>
          <w:i/>
          <w:color w:val="000000"/>
          <w:sz w:val="18"/>
        </w:rPr>
      </w:pPr>
      <w:r>
        <w:rPr>
          <w:rFonts w:ascii="Times New Roman;serif" w:hAnsi="Times New Roman;serif"/>
          <w:b w:val="false"/>
          <w:i/>
          <w:color w:val="000000"/>
          <w:sz w:val="18"/>
        </w:rPr>
        <w:t>(Registrant’s telephone number, including area code)</w:t>
      </w:r>
    </w:p>
    <w:p>
      <w:pPr>
        <w:pStyle w:val="TextBody"/>
        <w:bidi w:val="0"/>
        <w:spacing w:before="1" w:after="283"/>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1" w:type="dxa"/>
        <w:jc w:val="left"/>
        <w:tblInd w:w="0" w:type="dxa"/>
        <w:tblLayout w:type="fixed"/>
        <w:tblCellMar>
          <w:top w:w="28" w:type="dxa"/>
          <w:left w:w="28" w:type="dxa"/>
          <w:bottom w:w="28" w:type="dxa"/>
          <w:right w:w="28" w:type="dxa"/>
        </w:tblCellMar>
      </w:tblPr>
      <w:tblGrid>
        <w:gridCol w:w="1470"/>
        <w:gridCol w:w="1296"/>
        <w:gridCol w:w="1313"/>
        <w:gridCol w:w="109"/>
        <w:gridCol w:w="109"/>
        <w:gridCol w:w="109"/>
        <w:gridCol w:w="419"/>
        <w:gridCol w:w="419"/>
        <w:gridCol w:w="421"/>
        <w:gridCol w:w="109"/>
        <w:gridCol w:w="109"/>
        <w:gridCol w:w="109"/>
        <w:gridCol w:w="956"/>
        <w:gridCol w:w="956"/>
        <w:gridCol w:w="1357"/>
      </w:tblGrid>
      <w:tr>
        <w:trPr/>
        <w:tc>
          <w:tcPr>
            <w:tcW w:w="147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4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120"/>
        <w:jc w:val="left"/>
        <w:rPr/>
      </w:pPr>
      <w:r>
        <w:rPr>
          <w:color w:val="000000"/>
        </w:rPr>
        <w:t xml:space="preserve">                             </w:t>
      </w: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20" w:after="120"/>
        <w:jc w:val="left"/>
        <w:rPr/>
      </w:pPr>
      <w:r>
        <w:rPr/>
      </w:r>
    </w:p>
    <w:p>
      <w:pPr>
        <w:pStyle w:val="TextBody"/>
        <w:bidi w:val="0"/>
        <w:spacing w:before="2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2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October 9, 2026, Artisan Partners Asset Management Inc. (the “Company”) issued a press release reporting certain information about the Company’s preliminary assets under management as of September 30, 2026. A copy of the press release is attached hereto as Exhibit 99.1 and is incorporated herein by reference.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8.01, including the exhibit incorporated herein by reference, shall be deemed “filed” for purposes of the Securities Exchange Act of 1934, as amended, and shall be deemed incorporated by reference in the Company’s filings under the Securities Act of 1933, as amended.</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8411"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928"/>
        <w:gridCol w:w="1928"/>
        <w:gridCol w:w="274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Description of Exhibit </w:t>
            </w:r>
          </w:p>
        </w:tc>
      </w:tr>
      <w:tr>
        <w:trPr/>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september_09x2026xaumxrele.htm">
              <w:r>
                <w:rPr>
                  <w:rStyle w:val="InternetLink"/>
                  <w:rFonts w:ascii="Times New Roman;serif" w:hAnsi="Times New Roman;serif"/>
                  <w:b w:val="false"/>
                  <w:color w:val="000080"/>
                  <w:sz w:val="20"/>
                  <w:u w:val="single"/>
                </w:rPr>
                <w:t xml:space="preserve">Press Release of Artisan Partners Asset Management Inc. dated </w:t>
              </w:r>
            </w:hyperlink>
            <w:hyperlink w:anchor="september_09x2026xaumxrele.htm">
              <w:r>
                <w:rPr>
                  <w:rStyle w:val="InternetLink"/>
                  <w:rFonts w:ascii="Times New Roman;serif" w:hAnsi="Times New Roman;serif"/>
                  <w:b w:val="false"/>
                  <w:color w:val="000080"/>
                  <w:sz w:val="20"/>
                  <w:u w:val="single"/>
                </w:rPr>
                <w:t>October 9,</w:t>
              </w:r>
            </w:hyperlink>
            <w:hyperlink w:anchor="september_09x2026xaumxrele.htm">
              <w:r>
                <w:rPr>
                  <w:rStyle w:val="InternetLink"/>
                  <w:rFonts w:ascii="Times New Roman;serif" w:hAnsi="Times New Roman;serif"/>
                  <w:b w:val="false"/>
                  <w:color w:val="000080"/>
                  <w:sz w:val="20"/>
                  <w:u w:val="single"/>
                </w:rPr>
                <w:t xml:space="preserve"> 2026</w:t>
              </w:r>
            </w:hyperlink>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Artisan Partners Asset Management Inc.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October 9, 2026</w:t>
      </w:r>
    </w:p>
    <w:tbl>
      <w:tblPr>
        <w:tblW w:w="6252" w:type="dxa"/>
        <w:jc w:val="left"/>
        <w:tblInd w:w="0" w:type="dxa"/>
        <w:tblLayout w:type="fixed"/>
        <w:tblCellMar>
          <w:top w:w="28" w:type="dxa"/>
          <w:left w:w="28" w:type="dxa"/>
          <w:bottom w:w="28" w:type="dxa"/>
          <w:right w:w="28" w:type="dxa"/>
        </w:tblCellMar>
      </w:tblPr>
      <w:tblGrid>
        <w:gridCol w:w="232"/>
        <w:gridCol w:w="205"/>
        <w:gridCol w:w="208"/>
        <w:gridCol w:w="109"/>
        <w:gridCol w:w="109"/>
        <w:gridCol w:w="109"/>
        <w:gridCol w:w="1546"/>
        <w:gridCol w:w="1546"/>
        <w:gridCol w:w="218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Charles J. Daley, Jr.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6496050" cy="81915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496050" cy="819150"/>
                    </a:xfrm>
                    <a:prstGeom prst="rect">
                      <a:avLst/>
                    </a:prstGeom>
                  </pic:spPr>
                </pic:pic>
              </a:graphicData>
            </a:graphic>
          </wp:inline>
        </w:drawing>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40"/>
        <w:jc w:val="left"/>
        <w:rPr>
          <w:rFonts w:ascii="Myriad Pro;sans-serif" w:hAnsi="Myriad Pro;sans-serif"/>
          <w:b w:val="false"/>
          <w:color w:val="000000"/>
          <w:sz w:val="26"/>
        </w:rPr>
      </w:pPr>
      <w:r>
        <w:rPr>
          <w:rFonts w:ascii="Myriad Pro;sans-serif" w:hAnsi="Myriad Pro;sans-serif"/>
          <w:b w:val="false"/>
          <w:color w:val="000000"/>
          <w:sz w:val="26"/>
        </w:rPr>
        <w:t>Artisan Partners Asset Management Inc. Reports September 2026 Assets Under Management</w:t>
      </w:r>
    </w:p>
    <w:p>
      <w:pPr>
        <w:pStyle w:val="TextBody"/>
        <w:bidi w:val="0"/>
        <w:spacing w:lineRule="auto" w:line="268" w:before="0" w:after="0"/>
        <w:jc w:val="left"/>
        <w:rPr/>
      </w:pPr>
      <w:r>
        <w:rPr>
          <w:rFonts w:ascii="Myriad Pro Light;sans-serif" w:hAnsi="Myriad Pro Light;sans-serif"/>
          <w:b w:val="false"/>
          <w:color w:val="000000"/>
          <w:sz w:val="20"/>
        </w:rPr>
        <w:t>Milwaukee, WI - October 09, 2026 - Artisan Partners Asset Management Inc. (NYSE: APAM) today reported that its preliminary assets under management ("AUM") as of September 30, 2026 totaled $168.7 billion. Artisan Funds and Artisan Global Funds accounted for $90.2 billion of total firm AUM, while separate accounts and other AUM</w:t>
      </w:r>
      <w:r>
        <w:rPr>
          <w:rFonts w:ascii="Myriad Pro Light;sans-serif" w:hAnsi="Myriad Pro Light;sans-serif"/>
          <w:b w:val="false"/>
          <w:color w:val="000000"/>
          <w:sz w:val="13"/>
        </w:rPr>
        <w:t>1</w:t>
      </w:r>
      <w:r>
        <w:rPr>
          <w:color w:val="000000"/>
        </w:rPr>
        <w:t xml:space="preserve"> </w:t>
      </w:r>
      <w:r>
        <w:rPr>
          <w:rFonts w:ascii="Myriad Pro Light;sans-serif" w:hAnsi="Myriad Pro Light;sans-serif"/>
          <w:b w:val="false"/>
          <w:color w:val="000000"/>
          <w:sz w:val="20"/>
        </w:rPr>
        <w:t xml:space="preserve">accounted for $78.5 billion. </w:t>
      </w:r>
    </w:p>
    <w:p>
      <w:pPr>
        <w:pStyle w:val="TextBody"/>
        <w:bidi w:val="0"/>
        <w:spacing w:before="0" w:after="0"/>
        <w:jc w:val="left"/>
        <w:rPr/>
      </w:pPr>
      <w:r>
        <w:rPr/>
      </w:r>
    </w:p>
    <w:tbl>
      <w:tblPr>
        <w:tblW w:w="7592" w:type="dxa"/>
        <w:jc w:val="left"/>
        <w:tblInd w:w="0" w:type="dxa"/>
        <w:tblLayout w:type="fixed"/>
        <w:tblCellMar>
          <w:top w:w="28" w:type="dxa"/>
          <w:left w:w="28" w:type="dxa"/>
          <w:bottom w:w="28" w:type="dxa"/>
          <w:right w:w="28" w:type="dxa"/>
        </w:tblCellMar>
      </w:tblPr>
      <w:tblGrid>
        <w:gridCol w:w="2153"/>
        <w:gridCol w:w="1889"/>
        <w:gridCol w:w="1897"/>
        <w:gridCol w:w="226"/>
        <w:gridCol w:w="946"/>
        <w:gridCol w:w="109"/>
        <w:gridCol w:w="109"/>
        <w:gridCol w:w="109"/>
        <w:gridCol w:w="154"/>
      </w:tblGrid>
      <w:tr>
        <w:trPr/>
        <w:tc>
          <w:tcPr>
            <w:tcW w:w="215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Myriad Pro;sans-serif" w:hAnsi="Myriad Pro;sans-serif"/>
                <w:b w:val="false"/>
                <w:color w:val="000000"/>
                <w:sz w:val="20"/>
              </w:rPr>
              <w:t>PRELIMINARY ASSETS UNDER MANAGEMENT BY STRATEGY</w:t>
            </w:r>
            <w:r>
              <w:rPr>
                <w:rFonts w:ascii="Myriad Pro;sans-serif" w:hAnsi="Myriad Pro;sans-serif"/>
                <w:b w:val="false"/>
                <w:color w:val="000000"/>
                <w:sz w:val="13"/>
              </w:rPr>
              <w:t>2</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As of September 30, 2026 - ($ Millions)</w:t>
            </w:r>
          </w:p>
        </w:tc>
        <w:tc>
          <w:tcPr>
            <w:tcW w:w="12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Growth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Opportunities</w:t>
            </w:r>
          </w:p>
        </w:tc>
        <w:tc>
          <w:tcPr>
            <w:tcW w:w="22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11,932 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Discovery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1,858 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Mid-Cap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8,878 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U.S. Small-Cap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2,664 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Franchise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963 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Equity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Equity</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15,757 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Value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Value</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54,995 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International Explorer</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1,364 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Special Situations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Global Value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Value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32,185 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Select Equity</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1,040 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Sustainable Emerging Markets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Sustainable Emerging Markets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3,857 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Credit Team</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High Income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14,107 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Credit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436 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Floating Rate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305 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Custom Credit Solutions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1,529 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Developing World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Developing World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3,107 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0"/>
              <w:jc w:val="left"/>
              <w:rPr>
                <w:rFonts w:ascii="Myriad Pro;sans-serif" w:hAnsi="Myriad Pro;sans-serif"/>
                <w:b w:val="false"/>
                <w:color w:val="FFFFFF"/>
                <w:sz w:val="20"/>
              </w:rPr>
            </w:pPr>
            <w:r>
              <w:rPr>
                <w:rFonts w:ascii="Myriad Pro;sans-serif" w:hAnsi="Myriad Pro;sans-serif"/>
                <w:b w:val="false"/>
                <w:color w:val="FFFFFF"/>
                <w:sz w:val="20"/>
              </w:rPr>
              <w:t>Antero Peak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2,431 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Antero Peak Hedge</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208 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International Small-Mid Team</w:t>
            </w:r>
          </w:p>
        </w:tc>
        <w:tc>
          <w:tcPr>
            <w:tcW w:w="1281"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99999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Non-U.S. Small-Mid Growth</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3,639 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EMsights Capital Group</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Global Unconstrained</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2,659 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Debt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1,646 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Emerging Markets Local Opportunities</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1,969 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shd w:fill="999999" w:val="clear"/>
            <w:tcMar>
              <w:top w:w="30" w:type="dxa"/>
              <w:left w:w="0" w:type="dxa"/>
              <w:bottom w:w="0" w:type="dxa"/>
              <w:right w:w="0" w:type="dxa"/>
            </w:tcMar>
            <w:vAlign w:val="center"/>
          </w:tcPr>
          <w:p>
            <w:pPr>
              <w:pStyle w:val="TableContents"/>
              <w:bidi w:val="0"/>
              <w:spacing w:lineRule="auto" w:line="240" w:before="0" w:after="283"/>
              <w:jc w:val="left"/>
              <w:rPr>
                <w:rFonts w:ascii="Myriad Pro;sans-serif" w:hAnsi="Myriad Pro;sans-serif"/>
                <w:b w:val="false"/>
                <w:color w:val="FFFFFF"/>
                <w:sz w:val="20"/>
              </w:rPr>
            </w:pPr>
            <w:r>
              <w:rPr>
                <w:rFonts w:ascii="Myriad Pro;sans-serif" w:hAnsi="Myriad Pro;sans-serif"/>
                <w:b w:val="false"/>
                <w:color w:val="FFFFFF"/>
                <w:sz w:val="20"/>
              </w:rPr>
              <w:t>Grandview Property Partners</w:t>
            </w:r>
          </w:p>
        </w:tc>
        <w:tc>
          <w:tcPr>
            <w:tcW w:w="1281"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shd w:fill="99999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top w:w="30" w:type="dxa"/>
              <w:left w:w="0" w:type="dxa"/>
              <w:bottom w:w="0" w:type="dxa"/>
              <w:right w:w="0" w:type="dxa"/>
            </w:tcMar>
            <w:vAlign w:val="center"/>
          </w:tcPr>
          <w:p>
            <w:pPr>
              <w:pStyle w:val="TableContents"/>
              <w:bidi w:val="0"/>
              <w:spacing w:lineRule="auto" w:line="240" w:before="0" w:after="0"/>
              <w:jc w:val="left"/>
              <w:rPr/>
            </w:pPr>
            <w:r>
              <w:rPr>
                <w:rFonts w:ascii="Myriad Pro Light;sans-serif" w:hAnsi="Myriad Pro Light;sans-serif"/>
                <w:b w:val="false"/>
                <w:color w:val="000000"/>
                <w:sz w:val="20"/>
              </w:rPr>
              <w:t>Grandview Property Partners</w:t>
            </w:r>
            <w:r>
              <w:rPr>
                <w:rFonts w:ascii="Myriad Pro Light;sans-serif" w:hAnsi="Myriad Pro Light;sans-serif"/>
                <w:b w:val="false"/>
                <w:color w:val="000000"/>
                <w:sz w:val="13"/>
              </w:rPr>
              <w:t>3</w:t>
            </w:r>
          </w:p>
        </w:tc>
        <w:tc>
          <w:tcPr>
            <w:tcW w:w="1172" w:type="dxa"/>
            <w:gridSpan w:val="2"/>
            <w:tcBorders>
              <w:top w:val="single" w:sz="2" w:space="0" w:color="999999"/>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782 </w:t>
            </w:r>
          </w:p>
        </w:tc>
        <w:tc>
          <w:tcPr>
            <w:tcW w:w="109" w:type="dxa"/>
            <w:tcBorders>
              <w:top w:val="single" w:sz="2" w:space="0" w:color="999999"/>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2" w:space="0" w:color="999999"/>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Total Firm Assets Under Management ("AUM")</w:t>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Myriad Pro Light;sans-serif" w:hAnsi="Myriad Pro Light;sans-serif"/>
                <w:b w:val="false"/>
                <w:color w:val="000000"/>
                <w:sz w:val="20"/>
              </w:rPr>
            </w:pPr>
            <w:r>
              <w:rPr>
                <w:rFonts w:ascii="Myriad Pro Light;sans-serif" w:hAnsi="Myriad Pro Light;sans-serif"/>
                <w:b w:val="false"/>
                <w:color w:val="000000"/>
                <w:sz w:val="20"/>
              </w:rPr>
              <w:t>$</w:t>
            </w:r>
          </w:p>
        </w:tc>
        <w:tc>
          <w:tcPr>
            <w:tcW w:w="9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Myriad Pro Light;sans-serif" w:hAnsi="Myriad Pro Light;sans-serif"/>
                <w:b w:val="false"/>
                <w:color w:val="000000"/>
                <w:sz w:val="20"/>
              </w:rPr>
            </w:pPr>
            <w:r>
              <w:rPr>
                <w:rFonts w:ascii="Myriad Pro Light;sans-serif" w:hAnsi="Myriad Pro Light;sans-serif"/>
                <w:b w:val="false"/>
                <w:color w:val="000000"/>
                <w:sz w:val="20"/>
              </w:rPr>
              <w:t>168,744 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Myriad Pro Light;sans-serif" w:hAnsi="Myriad Pro Light;sans-serif"/>
          <w:b w:val="false"/>
          <w:color w:val="000000"/>
          <w:sz w:val="9"/>
        </w:rPr>
        <w:t>1</w:t>
      </w:r>
      <w:r>
        <w:rPr>
          <w:color w:val="000000"/>
        </w:rPr>
        <w:t xml:space="preserve"> </w:t>
      </w:r>
      <w:r>
        <w:rPr>
          <w:rFonts w:ascii="Myriad Pro Light;sans-serif" w:hAnsi="Myriad Pro Light;sans-serif"/>
          <w:b w:val="false"/>
          <w:color w:val="000000"/>
          <w:sz w:val="14"/>
        </w:rPr>
        <w:t>Separate account and other AUM consists of the assets we manage in or through vehicles other than Artisan Funds or Artisan Global Funds. Separate account and other AUM includes assets we manage in traditional separate accounts, as well as assets we manage in Artisan-branded collective investment trusts, and in our own private funds.</w:t>
      </w:r>
    </w:p>
    <w:p>
      <w:pPr>
        <w:pStyle w:val="TextBody"/>
        <w:bidi w:val="0"/>
        <w:spacing w:lineRule="auto" w:line="288" w:before="0" w:after="0"/>
        <w:jc w:val="left"/>
        <w:rPr/>
      </w:pPr>
      <w:r>
        <w:rPr>
          <w:rFonts w:ascii="Myriad Pro Light;sans-serif" w:hAnsi="Myriad Pro Light;sans-serif"/>
          <w:b w:val="false"/>
          <w:color w:val="000000"/>
          <w:sz w:val="9"/>
          <w:shd w:fill="FFFFFF" w:val="clear"/>
        </w:rPr>
        <w:t>2</w:t>
      </w:r>
      <w:r>
        <w:rPr>
          <w:color w:val="000000"/>
          <w:shd w:fill="FFFFFF" w:val="clear"/>
        </w:rPr>
        <w:t xml:space="preserve"> </w:t>
      </w:r>
      <w:r>
        <w:rPr>
          <w:rFonts w:ascii="Myriad Pro Light;sans-serif" w:hAnsi="Myriad Pro Light;sans-serif"/>
          <w:b w:val="false"/>
          <w:color w:val="000000"/>
          <w:sz w:val="14"/>
          <w:shd w:fill="FFFFFF" w:val="clear"/>
        </w:rPr>
        <w:t>AUM includes $508.8 million in aggregate for which Artisan Partners provides investment models to managed account sponsors (generally reported on a lag not exceeding one quarter).</w:t>
      </w:r>
    </w:p>
    <w:p>
      <w:pPr>
        <w:pStyle w:val="TextBody"/>
        <w:bidi w:val="0"/>
        <w:spacing w:lineRule="auto" w:line="268" w:before="0" w:after="0"/>
        <w:jc w:val="left"/>
        <w:rPr/>
      </w:pPr>
      <w:r>
        <w:rPr>
          <w:rFonts w:ascii="Myriad Pro Light;sans-serif" w:hAnsi="Myriad Pro Light;sans-serif"/>
          <w:b w:val="false"/>
          <w:color w:val="000000"/>
          <w:sz w:val="9"/>
          <w:shd w:fill="FFFFFF" w:val="clear"/>
        </w:rPr>
        <w:t xml:space="preserve">3 </w:t>
      </w:r>
      <w:r>
        <w:rPr>
          <w:rFonts w:ascii="Myriad Pro Light;sans-serif" w:hAnsi="Myriad Pro Light;sans-serif"/>
          <w:b w:val="false"/>
          <w:color w:val="000000"/>
          <w:sz w:val="14"/>
          <w:shd w:fill="FFFFFF" w:val="clear"/>
        </w:rPr>
        <w:t xml:space="preserve">Represents NAV plus uncalled and recallable capital.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drawing>
          <wp:inline distT="0" distB="0" distL="0" distR="0">
            <wp:extent cx="6496050" cy="75247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6496050" cy="752475"/>
                    </a:xfrm>
                    <a:prstGeom prst="rect">
                      <a:avLst/>
                    </a:prstGeom>
                  </pic:spPr>
                </pic:pic>
              </a:graphicData>
            </a:graphic>
          </wp:inline>
        </w:drawing>
      </w:r>
    </w:p>
    <w:p>
      <w:pPr>
        <w:pStyle w:val="TextBody"/>
        <w:bidi w:val="0"/>
        <w:spacing w:lineRule="auto" w:line="240" w:before="0" w:after="0"/>
        <w:jc w:val="left"/>
        <w:rPr>
          <w:rFonts w:ascii="Myriad Pro;sans-serif" w:hAnsi="Myriad Pro;sans-serif"/>
          <w:b w:val="false"/>
          <w:color w:val="000000"/>
          <w:sz w:val="20"/>
        </w:rPr>
      </w:pPr>
      <w:r>
        <w:rPr>
          <w:rFonts w:ascii="Myriad Pro;sans-serif" w:hAnsi="Myriad Pro;sans-serif"/>
          <w:b w:val="false"/>
          <w:color w:val="000000"/>
          <w:sz w:val="20"/>
        </w:rPr>
        <w:t>ABOUT ARTISAN PARTNERS</w:t>
      </w:r>
    </w:p>
    <w:p>
      <w:pPr>
        <w:pStyle w:val="TextBody"/>
        <w:bidi w:val="0"/>
        <w:spacing w:lineRule="auto" w:line="240" w:before="0" w:after="0"/>
        <w:jc w:val="left"/>
        <w:rPr>
          <w:rFonts w:ascii="Myriad Pro Light;sans-serif" w:hAnsi="Myriad Pro Light;sans-serif"/>
          <w:b w:val="false"/>
          <w:color w:val="000000"/>
          <w:sz w:val="18"/>
        </w:rPr>
      </w:pPr>
      <w:r>
        <w:rPr>
          <w:rFonts w:ascii="Myriad Pro Light;sans-serif" w:hAnsi="Myriad Pro Light;sans-serif"/>
          <w:b w:val="false"/>
          <w:color w:val="000000"/>
          <w:sz w:val="18"/>
        </w:rPr>
        <w:t>Artisan Partners is a global multi-asset investment platform providing a broad range of high value-added investment strategies in growing asset classes to sophisticated clients around the world. Since 1994, the firm has been committed to attracting experienced, disciplined investment professionals to manage client assets. Artisan Partners' autonomous investment teams oversee a diverse range of investment strategies across multiple asset classes. Strategies are offered through various investment vehicles to accommodate a broad range of client mandates.</w:t>
      </w:r>
    </w:p>
    <w:p>
      <w:pPr>
        <w:pStyle w:val="TextBody"/>
        <w:bidi w:val="0"/>
        <w:spacing w:before="0" w:after="0"/>
        <w:jc w:val="left"/>
        <w:rPr/>
      </w:pPr>
      <w:r>
        <w:rPr/>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Investor Relations Inquiries: 866.632.1770 or ir@artisanpartners.com</w:t>
      </w:r>
    </w:p>
    <w:p>
      <w:pPr>
        <w:pStyle w:val="TextBody"/>
        <w:bidi w:val="0"/>
        <w:spacing w:lineRule="auto" w:line="240" w:before="0" w:after="0"/>
        <w:jc w:val="left"/>
        <w:rPr>
          <w:rFonts w:ascii="Myriad Pro Light;sans-serif" w:hAnsi="Myriad Pro Light;sans-serif"/>
          <w:b w:val="false"/>
          <w:color w:val="000000"/>
          <w:sz w:val="20"/>
        </w:rPr>
      </w:pPr>
      <w:r>
        <w:rPr>
          <w:rFonts w:ascii="Myriad Pro Light;sans-serif" w:hAnsi="Myriad Pro Light;sans-serif"/>
          <w:b w:val="false"/>
          <w:color w:val="000000"/>
          <w:sz w:val="20"/>
        </w:rPr>
        <w:t>Source: Artisan Partners Asset Management Inc.</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Myriad Pro">
    <w:altName w:val="sans-serif"/>
    <w:charset w:val="01"/>
    <w:family w:val="auto"/>
    <w:pitch w:val="default"/>
  </w:font>
  <w:font w:name="Myriad Pro Ligh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880</Words>
  <Characters>5086</Characters>
  <CharactersWithSpaces>5900</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