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27, 2026</w:t>
      </w:r>
    </w:p>
    <w:p>
      <w:pPr>
        <w:spacing w:after="0" w:line="2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5"/>
          <w:szCs w:val="35"/>
          <w:b w:val="1"/>
          <w:bCs w:val="1"/>
          <w:color w:val="auto"/>
        </w:rPr>
        <w:t>Artisan Partners Asset Management Inc.</w:t>
      </w: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080"/>
          </w:cols>
          <w:pgMar w:left="320" w:top="857" w:right="499" w:bottom="1440" w:gutter="0" w:footer="0" w:header="0"/>
        </w:sectPr>
      </w:pPr>
    </w:p>
    <w:p>
      <w:pPr>
        <w:spacing w:after="0" w:line="4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001-35826</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45-0969585</w:t>
      </w:r>
    </w:p>
    <w:p>
      <w:pPr>
        <w:spacing w:after="0" w:line="44" w:lineRule="exact"/>
        <w:rPr>
          <w:sz w:val="24"/>
          <w:szCs w:val="24"/>
          <w:color w:val="auto"/>
        </w:rPr>
      </w:pPr>
    </w:p>
    <w:p>
      <w:pPr>
        <w:sectPr>
          <w:pgSz w:w="11900" w:h="16838" w:orient="portrait"/>
          <w:cols w:equalWidth="0" w:num="3">
            <w:col w:w="4540" w:space="720"/>
            <w:col w:w="1980" w:space="720"/>
            <w:col w:w="3120"/>
          </w:cols>
          <w:pgMar w:left="320" w:top="857" w:right="499" w:bottom="1440" w:gutter="0" w:footer="0" w:header="0"/>
          <w:type w:val="continuous"/>
        </w:sectPr>
      </w:pPr>
    </w:p>
    <w:p>
      <w:pPr>
        <w:jc w:val="center"/>
        <w:ind w:left="17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jc w:val="center"/>
        <w:ind w:left="172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2120"/>
        <w:spacing w:after="0"/>
        <w:rPr>
          <w:sz w:val="20"/>
          <w:szCs w:val="20"/>
          <w:color w:val="auto"/>
        </w:rPr>
      </w:pPr>
      <w:r>
        <w:rPr>
          <w:rFonts w:ascii="Times New Roman" w:cs="Times New Roman" w:eastAsia="Times New Roman" w:hAnsi="Times New Roman"/>
          <w:sz w:val="16"/>
          <w:szCs w:val="16"/>
          <w:i w:val="1"/>
          <w:iCs w:val="1"/>
          <w:color w:val="auto"/>
        </w:rPr>
        <w:t>Identification No.)</w:t>
      </w:r>
    </w:p>
    <w:p>
      <w:pPr>
        <w:spacing w:after="0" w:line="78" w:lineRule="exact"/>
        <w:rPr>
          <w:sz w:val="24"/>
          <w:szCs w:val="24"/>
          <w:color w:val="auto"/>
        </w:rPr>
      </w:pPr>
    </w:p>
    <w:p>
      <w:pPr>
        <w:sectPr>
          <w:pgSz w:w="11900" w:h="16838" w:orient="portrait"/>
          <w:cols w:equalWidth="0" w:num="3">
            <w:col w:w="4040" w:space="720"/>
            <w:col w:w="2280" w:space="720"/>
            <w:col w:w="3320"/>
          </w:cols>
          <w:pgMar w:left="320" w:top="857" w:right="49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Milwaukee, WI 53202</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and zip code)</w:t>
      </w:r>
    </w:p>
    <w:p>
      <w:pPr>
        <w:sectPr>
          <w:pgSz w:w="11900" w:h="16838" w:orient="portrait"/>
          <w:cols w:equalWidth="0" w:num="1">
            <w:col w:w="11080"/>
          </w:cols>
          <w:pgMar w:left="320" w:top="857" w:right="499" w:bottom="1440" w:gutter="0" w:footer="0" w:header="0"/>
          <w:type w:val="continuous"/>
        </w:sectPr>
      </w:pPr>
    </w:p>
    <w:p>
      <w:pPr>
        <w:spacing w:after="0" w:line="3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(414) 390-6100</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26" w:lineRule="exact"/>
        <w:rPr>
          <w:sz w:val="24"/>
          <w:szCs w:val="24"/>
          <w:color w:val="auto"/>
        </w:rPr>
      </w:pPr>
    </w:p>
    <w:p>
      <w:pPr>
        <w:ind w:left="80" w:right="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APAM</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84"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 w:lineRule="exact"/>
        <w:rPr>
          <w:sz w:val="24"/>
          <w:szCs w:val="24"/>
          <w:color w:val="auto"/>
        </w:rPr>
      </w:pPr>
    </w:p>
    <w:p>
      <w:pPr>
        <w:ind w:left="1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3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57"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October 27, 2026, Artisan Partners Asset Management Inc. (the “Company”) issued a press release announcing the availability of certain consolidated financial and operating results for the three and nine months ended September 30, 2026. Copies of the press release and the full earnings release are attached hereto as Exhibit 99.1 and 99.2, respectively, and are incorporated herein by reference.</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including the exhibits incorporated herein by reference, shall not be deemed “filed” for purposes of Section 18 of the Securities Exchange Act of 1934, as amended, or otherwise subject to the liabilities of that section, nor shall it be deemed incorporated by reference in any filing of the Company under the Securities Act of 1933, as amended, or the Securities Exchange Act of 1934, as amended, whether made before or after the date hereof, except as expressly set forth by specific reference in such a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9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9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80" w:type="dxa"/>
            <w:vAlign w:val="bottom"/>
            <w:tcBorders>
              <w:top w:val="single" w:sz="8" w:color="auto"/>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of Artisan Partners Asset Management Inc. dated October 27, 2026</w:t>
            </w:r>
          </w:p>
        </w:tc>
        <w:tc>
          <w:tcPr>
            <w:tcW w:w="4080" w:type="dxa"/>
            <w:vAlign w:val="bottom"/>
            <w:tcBorders>
              <w:top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Earnings Release of Artisan Partners Asset Management Inc. dated October 27, 2026</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60" w:hanging="820"/>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63"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J. Daley, Jr.</w:t>
            </w: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J. Daley, Jr.</w:t>
            </w:r>
          </w:p>
        </w:tc>
      </w:tr>
      <w:tr>
        <w:trPr>
          <w:trHeight w:val="189"/>
        </w:trPr>
        <w:tc>
          <w:tcPr>
            <w:tcW w:w="800" w:type="dxa"/>
            <w:vAlign w:val="bottom"/>
          </w:tcPr>
          <w:p>
            <w:pPr>
              <w:spacing w:after="0"/>
              <w:rPr>
                <w:sz w:val="16"/>
                <w:szCs w:val="16"/>
                <w:color w:val="auto"/>
              </w:rPr>
            </w:pPr>
          </w:p>
        </w:tc>
        <w:tc>
          <w:tcPr>
            <w:tcW w:w="3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Treasurer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607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200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Artisan Partners Asset Management Inc. Reports 3Q26 Results and Quarterly Dividend</w:t>
      </w:r>
    </w:p>
    <w:p>
      <w:pPr>
        <w:spacing w:after="0" w:line="1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Milwaukee, WI - October 27, 2026 - Artisan Partners Asset Management Inc. (NYSE: APAM) (the “Company” or “Artisan Partners”) today reported its results for the quarter ended September 30, 2026, and declared a quarterly dividend. The full September 2026 quarter earnings release and investor presentation can be viewed at </w:t>
      </w:r>
      <w:r>
        <w:rPr>
          <w:rFonts w:ascii="Arial" w:cs="Arial" w:eastAsia="Arial" w:hAnsi="Arial"/>
          <w:sz w:val="18"/>
          <w:szCs w:val="18"/>
          <w:u w:val="single" w:color="auto"/>
          <w:color w:val="auto"/>
        </w:rPr>
        <w:t>www.apam.com</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will host a conference call on October 28, 2026, at 11:00 a.m. (Eastern Time) to discuss its results for the three and nine months ended September 30, 2026. Hosting the call will be Jason Gottlieb, Chief Executive Officer and President, and C.J. Daley, Chief Financial Officer. Supplemental materials that will be reviewed during the call are available on the Company’s website at www.apam.com. The call will be webcast and can be accessed via the Company’s website. Listeners may also access the call by dialing 877.328.5507 or 412.317.5423 for international callers; the conference ID is 10211561. A replay of the call will be available until November 4, 2026, at 9:00 a.m. (Eastern Time), by dialing 855.669.9658 or 412.317.0088 for international callers; the replay conference ID is 9164543. An audio recording will also be available on the Company’s website.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About Artisan Partners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Source: Artisan Partners Asset Management Inc.</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Inquiries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866.632.1770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ir@artisanpartners.com</w:t>
      </w:r>
    </w:p>
    <w:p>
      <w:pPr>
        <w:sectPr>
          <w:pgSz w:w="11900" w:h="16838" w:orient="portrait"/>
          <w:cols w:equalWidth="0" w:num="1">
            <w:col w:w="11120"/>
          </w:cols>
          <w:pgMar w:left="320" w:top="1440" w:right="4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52110"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452110" cy="68580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color w:val="auto"/>
        </w:rPr>
        <w:t>Artisan Partners Asset Management Inc. Reports 3Q26 Results and Quarterly Dividend</w:t>
      </w:r>
    </w:p>
    <w:p>
      <w:pPr>
        <w:spacing w:after="0" w:line="12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Milwaukee, WI - October 27, 2026 - Artisan Partners Asset Management Inc. (NYSE: APAM) (the “Company” or “Artisan Partners”) today reported its results for the quarter ended September 30, 2026, and declared a quarterly dividend.</w:t>
      </w:r>
    </w:p>
    <w:p>
      <w:pPr>
        <w:spacing w:after="0" w:line="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Chief Executive Officer Jason Gottlieb said: "Artisan Partners is a talent-driven investment platform. We bring together exceptional investors, the autonomy to pursue disciplined investment processes, the resources to execute them, and the time to build enduring investment franchises. We believe that combination is a powerful and distinctive advantage that enables us to generate exceptional investment results and compound wealth for clients. It defines who we are and how we intend to grow our business over time.</w:t>
      </w:r>
    </w:p>
    <w:p>
      <w:pPr>
        <w:spacing w:after="0" w:line="21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"Investment performance is the foundation of everything we do. Over 75% of our assets under management have outperformed their benchmarks over the five-year and ten-year periods, and 99% have outperformed since inception. Our long-term investment performance across investment teams, styles, asset classes, geographies, and inception dates demonstrates the value and repeatability of our business model and philosophy.</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third quarter business results reflect both the strengths and the realities of our business. Firmwide net outflows were $ 10.6 billion, driven by redemptions in our public-equity strategies, including previously reported redemptions of $1.9 billion associated with the U.S. Value team wind-down and $5.9 billion of rebalancing from a large client relationship.</w:t>
      </w:r>
    </w:p>
    <w:p>
      <w:pPr>
        <w:spacing w:after="0" w:line="17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Credit team and EMsights Capital Group continue to demonstrate the growth potential of our expanding platform. Credit and alternative strategies generated approximately $1.1 billion of net inflows during the quarter, a 17% annualized growth rate, including $747 million in the Global Unconstrained strategy. Year-to-date, we have raised net $3.2 billion across credit and alternative strategies, representing a 20% annualized growth rate. We are also pleased that Grandview Property Partners closed on anchor capital for its next flagship fund. Having established strong investment track records in credit and alternatives, we are increasingly demonstrating our ability to translate investment excellence into meaningful business growth.</w:t>
      </w:r>
    </w:p>
    <w:p>
      <w:pPr>
        <w:spacing w:after="0" w:line="219"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"Building on that success, we are pursuing opportunities to accelerate the expansion of our platform in fixed income and alternatives by recruiting new investment talent and through additional acquisitions, while working with existing investment teams to add capabilities, broaden investment degrees of freedom, and efficiently package and deliver our investment capabilities. We are progressing as planned toward the launch of our first ETF share classes in the fourth quarter and are developing an interval fund structure to bring our public- and private-credit capabilities to wealth clients.</w:t>
      </w:r>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"Assets under management ended the quarter at $168.7 billion. Revenues increased 4% to $312.5 million compared to the third quarter of 2025. On a GAAP basis, operating income increased 8% to $109.8 million, operating margin was 35.1% and earnings per share were $1.04. On an adjusted basis, operating income increased 2% to $110.9 million, operating margin contracted 70 basis points to 35.5% and earnings per share increased 1% to $1.03. Our balance sheet and cash generation provide the flexibility to continue investing in our people and platform while paying a healthy dividend.</w:t>
      </w:r>
    </w:p>
    <w:p>
      <w:pPr>
        <w:spacing w:after="0" w:line="2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"Investment excellence comes first. We cannot engineer short-term flow outcomes, and we have never built our business around trying to do so. We focus on creating the conditions for excellent investing and building successful businesses with our investment talent. That means bringing together exceptional talent, relevant strategies, the right vehicles, and effective sales and client service."</w:t>
      </w:r>
    </w:p>
    <w:p>
      <w:pPr>
        <w:sectPr>
          <w:pgSz w:w="11900" w:h="16838" w:orient="portrait"/>
          <w:cols w:equalWidth="0" w:num="1">
            <w:col w:w="11240"/>
          </w:cols>
          <w:pgMar w:left="320" w:top="1440" w:right="339" w:bottom="1440" w:gutter="0" w:footer="0" w:header="0"/>
        </w:sectPr>
      </w:pPr>
    </w:p>
    <w:bookmarkStart w:id="5" w:name="page6"/>
    <w:bookmarkEnd w:id="5"/>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AUM and Flows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6"/>
                <w:szCs w:val="16"/>
                <w:color w:val="auto"/>
              </w:rPr>
              <w:t>For the Three Months Ended</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color w:val="auto"/>
              </w:rPr>
              <w:t>For the Nine Months Ended</w:t>
            </w:r>
          </w:p>
        </w:tc>
      </w:tr>
      <w:tr>
        <w:trPr>
          <w:trHeight w:val="222"/>
        </w:trPr>
        <w:tc>
          <w:tcPr>
            <w:tcW w:w="452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color w:val="auto"/>
              </w:rPr>
              <w:t>September 30,</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color w:val="auto"/>
              </w:rPr>
              <w:t>June 30,</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rPr>
              <w:t>September 30,</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September 30,</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September 30,</w:t>
            </w:r>
          </w:p>
        </w:tc>
      </w:tr>
      <w:tr>
        <w:trPr>
          <w:trHeight w:val="231"/>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2025</w:t>
            </w:r>
          </w:p>
        </w:tc>
      </w:tr>
      <w:tr>
        <w:trPr>
          <w:trHeight w:val="222"/>
        </w:trPr>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6"/>
          </w:tcPr>
          <w:p>
            <w:pPr>
              <w:jc w:val="center"/>
              <w:ind w:left="759"/>
              <w:spacing w:after="0"/>
              <w:rPr>
                <w:sz w:val="20"/>
                <w:szCs w:val="20"/>
                <w:color w:val="auto"/>
              </w:rPr>
            </w:pPr>
            <w:r>
              <w:rPr>
                <w:rFonts w:ascii="Arial" w:cs="Arial" w:eastAsia="Arial" w:hAnsi="Arial"/>
                <w:sz w:val="16"/>
                <w:szCs w:val="16"/>
                <w:color w:val="auto"/>
              </w:rPr>
              <w:t>(unaudited, 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6"/>
                <w:szCs w:val="16"/>
                <w:color w:val="auto"/>
              </w:rPr>
              <w:t>Beginning assets under management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183,389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172,981</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175,545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179,928</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161,208</w:t>
            </w:r>
          </w:p>
        </w:tc>
      </w:tr>
      <w:tr>
        <w:trPr>
          <w:trHeight w:val="229"/>
        </w:trPr>
        <w:tc>
          <w:tcPr>
            <w:tcW w:w="4520" w:type="dxa"/>
            <w:vAlign w:val="bottom"/>
          </w:tcPr>
          <w:p>
            <w:pPr>
              <w:ind w:left="340"/>
              <w:spacing w:after="0"/>
              <w:rPr>
                <w:sz w:val="20"/>
                <w:szCs w:val="20"/>
                <w:color w:val="auto"/>
              </w:rPr>
            </w:pPr>
            <w:r>
              <w:rPr>
                <w:rFonts w:ascii="Arial" w:cs="Arial" w:eastAsia="Arial" w:hAnsi="Arial"/>
                <w:sz w:val="16"/>
                <w:szCs w:val="16"/>
                <w:color w:val="auto"/>
              </w:rPr>
              <w:t>Gross client cash inflows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19,331</w:t>
            </w:r>
          </w:p>
        </w:tc>
      </w:tr>
      <w:tr>
        <w:trPr>
          <w:trHeight w:val="231"/>
        </w:trPr>
        <w:tc>
          <w:tcPr>
            <w:tcW w:w="4520" w:type="dxa"/>
            <w:vAlign w:val="bottom"/>
          </w:tcPr>
          <w:p>
            <w:pPr>
              <w:ind w:left="340"/>
              <w:spacing w:after="0"/>
              <w:rPr>
                <w:sz w:val="20"/>
                <w:szCs w:val="20"/>
                <w:color w:val="auto"/>
              </w:rPr>
            </w:pPr>
            <w:r>
              <w:rPr>
                <w:rFonts w:ascii="Arial" w:cs="Arial" w:eastAsia="Arial" w:hAnsi="Arial"/>
                <w:sz w:val="16"/>
                <w:szCs w:val="16"/>
                <w:color w:val="auto"/>
              </w:rPr>
              <w:t>Gross client cash outflows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(19,296)</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(50,045)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(26,363)</w:t>
            </w:r>
          </w:p>
        </w:tc>
      </w:tr>
      <w:tr>
        <w:trPr>
          <w:trHeight w:val="222"/>
        </w:trPr>
        <w:tc>
          <w:tcPr>
            <w:tcW w:w="4520" w:type="dxa"/>
            <w:vAlign w:val="bottom"/>
          </w:tcPr>
          <w:p>
            <w:pPr>
              <w:spacing w:after="0"/>
              <w:rPr>
                <w:sz w:val="20"/>
                <w:szCs w:val="20"/>
                <w:color w:val="auto"/>
              </w:rPr>
            </w:pPr>
            <w:r>
              <w:rPr>
                <w:rFonts w:ascii="Arial" w:cs="Arial" w:eastAsia="Arial" w:hAnsi="Arial"/>
                <w:sz w:val="16"/>
                <w:szCs w:val="16"/>
                <w:color w:val="auto"/>
              </w:rPr>
              <w:t>Net client cash flows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(7,032)</w:t>
            </w:r>
          </w:p>
        </w:tc>
      </w:tr>
      <w:tr>
        <w:trPr>
          <w:trHeight w:val="234"/>
        </w:trPr>
        <w:tc>
          <w:tcPr>
            <w:tcW w:w="4520" w:type="dxa"/>
            <w:vAlign w:val="bottom"/>
          </w:tcPr>
          <w:p>
            <w:pPr>
              <w:spacing w:after="0" w:line="234" w:lineRule="exact"/>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520" w:type="dxa"/>
            <w:vAlign w:val="bottom"/>
          </w:tcPr>
          <w:p>
            <w:pPr>
              <w:spacing w:after="0" w:line="230" w:lineRule="exact"/>
              <w:rPr>
                <w:sz w:val="20"/>
                <w:szCs w:val="20"/>
                <w:color w:val="auto"/>
              </w:rPr>
            </w:pPr>
            <w:r>
              <w:rPr>
                <w:rFonts w:ascii="Arial" w:cs="Arial" w:eastAsia="Arial" w:hAnsi="Arial"/>
                <w:sz w:val="16"/>
                <w:szCs w:val="16"/>
                <w:color w:val="auto"/>
              </w:rPr>
              <w:t>Realizations</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4520" w:type="dxa"/>
            <w:vAlign w:val="bottom"/>
          </w:tcPr>
          <w:p>
            <w:pPr>
              <w:spacing w:after="0" w:line="240" w:lineRule="exact"/>
              <w:rPr>
                <w:sz w:val="20"/>
                <w:szCs w:val="20"/>
                <w:color w:val="auto"/>
              </w:rPr>
            </w:pPr>
            <w:r>
              <w:rPr>
                <w:rFonts w:ascii="Arial" w:cs="Arial" w:eastAsia="Arial" w:hAnsi="Arial"/>
                <w:sz w:val="16"/>
                <w:szCs w:val="16"/>
                <w:color w:val="auto"/>
              </w:rPr>
              <w:t>Artisan Funds' distributions not reinvested</w:t>
            </w:r>
            <w:r>
              <w:rPr>
                <w:rFonts w:ascii="Arial" w:cs="Arial" w:eastAsia="Arial" w:hAnsi="Arial"/>
                <w:sz w:val="21"/>
                <w:szCs w:val="21"/>
                <w:color w:val="auto"/>
                <w:vertAlign w:val="superscript"/>
              </w:rPr>
              <w:t>3</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6"/>
        </w:trPr>
        <w:tc>
          <w:tcPr>
            <w:tcW w:w="4520" w:type="dxa"/>
            <w:vAlign w:val="bottom"/>
          </w:tcPr>
          <w:p>
            <w:pPr>
              <w:spacing w:after="0"/>
              <w:rPr>
                <w:sz w:val="20"/>
                <w:szCs w:val="20"/>
                <w:color w:val="auto"/>
              </w:rPr>
            </w:pPr>
            <w:r>
              <w:rPr>
                <w:rFonts w:ascii="Arial" w:cs="Arial" w:eastAsia="Arial" w:hAnsi="Arial"/>
                <w:sz w:val="16"/>
                <w:szCs w:val="16"/>
                <w:color w:val="auto"/>
              </w:rPr>
              <w:t>Investment returns and other</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27,601</w:t>
            </w:r>
          </w:p>
        </w:tc>
      </w:tr>
      <w:tr>
        <w:trPr>
          <w:trHeight w:val="224"/>
        </w:trPr>
        <w:tc>
          <w:tcPr>
            <w:tcW w:w="4520" w:type="dxa"/>
            <w:vAlign w:val="bottom"/>
          </w:tcPr>
          <w:p>
            <w:pPr>
              <w:spacing w:after="0"/>
              <w:rPr>
                <w:sz w:val="20"/>
                <w:szCs w:val="20"/>
                <w:color w:val="auto"/>
              </w:rPr>
            </w:pPr>
            <w:r>
              <w:rPr>
                <w:rFonts w:ascii="Arial" w:cs="Arial" w:eastAsia="Arial" w:hAnsi="Arial"/>
                <w:sz w:val="16"/>
                <w:szCs w:val="16"/>
                <w:color w:val="auto"/>
              </w:rPr>
              <w:t>Ending assets under management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183,389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181,306</w:t>
            </w:r>
          </w:p>
        </w:tc>
      </w:tr>
      <w:tr>
        <w:trPr>
          <w:trHeight w:val="21"/>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6"/>
                <w:szCs w:val="16"/>
                <w:color w:val="auto"/>
              </w:rPr>
              <w:t>Average assets under management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170,358</w:t>
            </w:r>
          </w:p>
        </w:tc>
      </w:tr>
      <w:tr>
        <w:trPr>
          <w:trHeight w:val="21"/>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AUM and a comparison of certain GAAP and non-GAAP (</w:t>
      </w:r>
      <w:r>
        <w:rPr>
          <w:rFonts w:ascii="Arial" w:cs="Arial" w:eastAsia="Arial" w:hAnsi="Arial"/>
          <w:sz w:val="16"/>
          <w:szCs w:val="16"/>
          <w:color w:val="auto"/>
        </w:rPr>
        <w:t>“</w:t>
      </w:r>
      <w:r>
        <w:rPr>
          <w:rFonts w:ascii="Arial" w:cs="Arial" w:eastAsia="Arial" w:hAnsi="Arial"/>
          <w:sz w:val="18"/>
          <w:szCs w:val="18"/>
          <w:color w:val="auto"/>
        </w:rPr>
        <w:t>adjusted</w:t>
      </w:r>
      <w:r>
        <w:rPr>
          <w:rFonts w:ascii="Arial" w:cs="Arial" w:eastAsia="Arial" w:hAnsi="Arial"/>
          <w:sz w:val="16"/>
          <w:szCs w:val="16"/>
          <w:color w:val="auto"/>
        </w:rPr>
        <w:t>”</w:t>
      </w:r>
      <w:r>
        <w:rPr>
          <w:rFonts w:ascii="Arial" w:cs="Arial" w:eastAsia="Arial" w:hAnsi="Arial"/>
          <w:sz w:val="18"/>
          <w:szCs w:val="18"/>
          <w:color w:val="auto"/>
        </w:rPr>
        <w:t>) financial measures.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6"/>
                <w:szCs w:val="16"/>
                <w:color w:val="auto"/>
              </w:rPr>
              <w:t>For the Three Months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9"/>
                <w:szCs w:val="19"/>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color w:val="auto"/>
              </w:rPr>
              <w:t>June 30,</w:t>
            </w:r>
          </w:p>
        </w:tc>
        <w:tc>
          <w:tcPr>
            <w:tcW w:w="1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31"/>
        </w:trPr>
        <w:tc>
          <w:tcPr>
            <w:tcW w:w="4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2026</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2026</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2026</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0" w:type="dxa"/>
            <w:vAlign w:val="bottom"/>
            <w:gridSpan w:val="10"/>
          </w:tcPr>
          <w:p>
            <w:pPr>
              <w:jc w:val="right"/>
              <w:ind w:right="919"/>
              <w:spacing w:after="0"/>
              <w:rPr>
                <w:sz w:val="20"/>
                <w:szCs w:val="20"/>
                <w:color w:val="auto"/>
              </w:rPr>
            </w:pPr>
            <w:r>
              <w:rPr>
                <w:rFonts w:ascii="Arial" w:cs="Arial" w:eastAsia="Arial" w:hAnsi="Arial"/>
                <w:sz w:val="16"/>
                <w:szCs w:val="16"/>
                <w:color w:val="auto"/>
              </w:rPr>
              <w:t>(unaudited, in millions except per share amounts or as otherwise noted)</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6"/>
                <w:szCs w:val="16"/>
                <w:color w:val="auto"/>
              </w:rPr>
              <w:t>Assets Under Management (amounts in billions)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Ending</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168.7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183.4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168.7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6"/>
                <w:szCs w:val="16"/>
                <w:color w:val="auto"/>
              </w:rPr>
              <w:t>Average</w:t>
            </w: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180.5</w:t>
            </w:r>
          </w:p>
        </w:tc>
        <w:tc>
          <w:tcPr>
            <w:tcW w:w="28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181.9</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181.6</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500"/>
        </w:trPr>
        <w:tc>
          <w:tcPr>
            <w:tcW w:w="4100" w:type="dxa"/>
            <w:vAlign w:val="bottom"/>
          </w:tcPr>
          <w:p>
            <w:pPr>
              <w:spacing w:after="0"/>
              <w:rPr>
                <w:sz w:val="20"/>
                <w:szCs w:val="20"/>
                <w:color w:val="auto"/>
              </w:rPr>
            </w:pPr>
            <w:r>
              <w:rPr>
                <w:rFonts w:ascii="Arial" w:cs="Arial" w:eastAsia="Arial" w:hAnsi="Arial"/>
                <w:sz w:val="16"/>
                <w:szCs w:val="16"/>
                <w:color w:val="auto"/>
              </w:rPr>
              <w:t>Consolidated Financial Results (GAAP)</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312.5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307.9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301.3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923.4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861.2</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109.8</w:t>
            </w:r>
          </w:p>
        </w:tc>
        <w:tc>
          <w:tcPr>
            <w:tcW w:w="28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84.6</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288.6</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6"/>
                <w:szCs w:val="16"/>
                <w:color w:val="auto"/>
              </w:rPr>
              <w:t>Operating margin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35.1 %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27.5 %</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31.3 %</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31.1 %</w:t>
            </w:r>
          </w:p>
        </w:tc>
        <w:tc>
          <w:tcPr>
            <w:tcW w:w="0" w:type="dxa"/>
            <w:vAlign w:val="bottom"/>
          </w:tcPr>
          <w:p>
            <w:pPr>
              <w:spacing w:after="0"/>
              <w:rPr>
                <w:sz w:val="1"/>
                <w:szCs w:val="1"/>
                <w:color w:val="auto"/>
              </w:rPr>
            </w:pPr>
          </w:p>
        </w:tc>
      </w:tr>
      <w:tr>
        <w:trPr>
          <w:trHeight w:val="178"/>
        </w:trPr>
        <w:tc>
          <w:tcPr>
            <w:tcW w:w="4100" w:type="dxa"/>
            <w:vAlign w:val="bottom"/>
          </w:tcPr>
          <w:p>
            <w:pPr>
              <w:ind w:left="120"/>
              <w:spacing w:after="0" w:line="178" w:lineRule="exact"/>
              <w:rPr>
                <w:sz w:val="20"/>
                <w:szCs w:val="20"/>
                <w:color w:val="auto"/>
              </w:rPr>
            </w:pPr>
            <w:r>
              <w:rPr>
                <w:rFonts w:ascii="Arial" w:cs="Arial" w:eastAsia="Arial" w:hAnsi="Arial"/>
                <w:sz w:val="16"/>
                <w:szCs w:val="16"/>
                <w:color w:val="auto"/>
              </w:rPr>
              <w:t>Net income attributable to Artisan Partners Asset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color w:val="auto"/>
              </w:rPr>
              <w:t>75.2</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179"/>
              <w:spacing w:after="0"/>
              <w:rPr>
                <w:sz w:val="20"/>
                <w:szCs w:val="20"/>
                <w:color w:val="auto"/>
              </w:rPr>
            </w:pPr>
            <w:r>
              <w:rPr>
                <w:rFonts w:ascii="Arial" w:cs="Arial" w:eastAsia="Arial" w:hAnsi="Arial"/>
                <w:sz w:val="16"/>
                <w:szCs w:val="16"/>
                <w:color w:val="auto"/>
              </w:rPr>
              <w:t>80.9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color w:val="auto"/>
              </w:rPr>
              <w:t>214.1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15"/>
        </w:trPr>
        <w:tc>
          <w:tcPr>
            <w:tcW w:w="4100" w:type="dxa"/>
            <w:vAlign w:val="bottom"/>
          </w:tcPr>
          <w:p>
            <w:pPr>
              <w:ind w:left="280"/>
              <w:spacing w:after="0"/>
              <w:rPr>
                <w:sz w:val="20"/>
                <w:szCs w:val="20"/>
                <w:color w:val="auto"/>
              </w:rPr>
            </w:pPr>
            <w:r>
              <w:rPr>
                <w:rFonts w:ascii="Arial" w:cs="Arial" w:eastAsia="Arial" w:hAnsi="Arial"/>
                <w:sz w:val="16"/>
                <w:szCs w:val="16"/>
                <w:color w:val="auto"/>
              </w:rPr>
              <w:t>Management Inc.</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6"/>
                <w:szCs w:val="16"/>
                <w:color w:val="auto"/>
              </w:rPr>
              <w:t>Basic earnings per share</w:t>
            </w: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Diluted earnings per share</w:t>
            </w: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514"/>
        </w:trPr>
        <w:tc>
          <w:tcPr>
            <w:tcW w:w="4100" w:type="dxa"/>
            <w:vAlign w:val="bottom"/>
          </w:tcPr>
          <w:p>
            <w:pPr>
              <w:spacing w:after="0"/>
              <w:rPr>
                <w:sz w:val="20"/>
                <w:szCs w:val="20"/>
                <w:color w:val="auto"/>
              </w:rPr>
            </w:pPr>
            <w:r>
              <w:rPr>
                <w:rFonts w:ascii="Arial" w:cs="Arial" w:eastAsia="Arial" w:hAnsi="Arial"/>
                <w:sz w:val="16"/>
                <w:szCs w:val="16"/>
                <w:color w:val="auto"/>
              </w:rPr>
              <w:t>Adjusted</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Financial Results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120"/>
              <w:spacing w:after="0"/>
              <w:rPr>
                <w:sz w:val="20"/>
                <w:szCs w:val="20"/>
                <w:color w:val="auto"/>
              </w:rPr>
            </w:pPr>
            <w:r>
              <w:rPr>
                <w:rFonts w:ascii="Arial" w:cs="Arial" w:eastAsia="Arial" w:hAnsi="Arial"/>
                <w:sz w:val="16"/>
                <w:szCs w:val="16"/>
                <w:color w:val="auto"/>
              </w:rPr>
              <w:t>Adjusted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110.9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306.5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Adjusted operating margin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32.9 %</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33.2 %</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33.4 %</w:t>
            </w:r>
          </w:p>
        </w:tc>
        <w:tc>
          <w:tcPr>
            <w:tcW w:w="0" w:type="dxa"/>
            <w:vAlign w:val="bottom"/>
          </w:tcPr>
          <w:p>
            <w:pPr>
              <w:spacing w:after="0"/>
              <w:rPr>
                <w:sz w:val="1"/>
                <w:szCs w:val="1"/>
                <w:color w:val="auto"/>
              </w:rPr>
            </w:pPr>
          </w:p>
        </w:tc>
      </w:tr>
      <w:tr>
        <w:trPr>
          <w:trHeight w:val="244"/>
        </w:trPr>
        <w:tc>
          <w:tcPr>
            <w:tcW w:w="4100" w:type="dxa"/>
            <w:vAlign w:val="bottom"/>
          </w:tcPr>
          <w:p>
            <w:pPr>
              <w:ind w:left="1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116.2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106.0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320.6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15"/>
        </w:trPr>
        <w:tc>
          <w:tcPr>
            <w:tcW w:w="4100" w:type="dxa"/>
            <w:vAlign w:val="bottom"/>
          </w:tcPr>
          <w:p>
            <w:pPr>
              <w:ind w:left="120"/>
              <w:spacing w:after="0"/>
              <w:rPr>
                <w:sz w:val="20"/>
                <w:szCs w:val="20"/>
                <w:color w:val="auto"/>
              </w:rPr>
            </w:pPr>
            <w:r>
              <w:rPr>
                <w:rFonts w:ascii="Arial" w:cs="Arial" w:eastAsia="Arial" w:hAnsi="Arial"/>
                <w:sz w:val="16"/>
                <w:szCs w:val="16"/>
                <w:color w:val="auto"/>
              </w:rPr>
              <w:t>Adjusted net income</w:t>
            </w:r>
          </w:p>
        </w:tc>
        <w:tc>
          <w:tcPr>
            <w:tcW w:w="12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84.2</w:t>
            </w:r>
          </w:p>
        </w:tc>
        <w:tc>
          <w:tcPr>
            <w:tcW w:w="28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76.5</w:t>
            </w: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231.5</w:t>
            </w: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Adjusted net income per adjusted share</w:t>
            </w: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0.94</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2.84</w:t>
            </w:r>
          </w:p>
        </w:tc>
        <w:tc>
          <w:tcPr>
            <w:tcW w:w="1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48" w:lineRule="exact"/>
        <w:rPr>
          <w:sz w:val="20"/>
          <w:szCs w:val="20"/>
          <w:color w:val="auto"/>
        </w:rPr>
      </w:pPr>
    </w:p>
    <w:p>
      <w:pPr>
        <w:ind w:left="100" w:hanging="92"/>
        <w:spacing w:after="0"/>
        <w:tabs>
          <w:tab w:leader="none" w:pos="100" w:val="left"/>
        </w:tabs>
        <w:numPr>
          <w:ilvl w:val="0"/>
          <w:numId w:val="3"/>
        </w:numPr>
        <w:rPr>
          <w:rFonts w:ascii="Arial" w:cs="Arial" w:eastAsia="Arial" w:hAnsi="Arial"/>
          <w:sz w:val="9"/>
          <w:szCs w:val="9"/>
          <w:color w:val="auto"/>
        </w:rPr>
      </w:pPr>
      <w:r>
        <w:rPr>
          <w:rFonts w:ascii="Arial" w:cs="Arial" w:eastAsia="Arial" w:hAnsi="Arial"/>
          <w:sz w:val="14"/>
          <w:szCs w:val="14"/>
          <w:color w:val="auto"/>
        </w:rPr>
        <w:t>Reflects AUM obtained in connection with the closing of the Grandview Property Partners acquisition on January 2, 2026.</w:t>
      </w:r>
    </w:p>
    <w:p>
      <w:pPr>
        <w:spacing w:after="0" w:line="28" w:lineRule="exact"/>
        <w:rPr>
          <w:rFonts w:ascii="Arial" w:cs="Arial" w:eastAsia="Arial" w:hAnsi="Arial"/>
          <w:sz w:val="9"/>
          <w:szCs w:val="9"/>
          <w:color w:val="auto"/>
        </w:rPr>
      </w:pPr>
    </w:p>
    <w:p>
      <w:pPr>
        <w:spacing w:after="0" w:line="187"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Represents the distribution of realized proceeds from the disposition of assets.</w:t>
      </w:r>
    </w:p>
    <w:p>
      <w:pPr>
        <w:spacing w:after="0" w:line="187"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Reflects the amount of income and capital gain distributions that were not reinvested in the Artisan Funds.</w:t>
      </w:r>
    </w:p>
    <w:p>
      <w:pPr>
        <w:spacing w:after="0" w:line="187"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Adjusted measures are non-GAAP measures and are explained and reconciled to the comparable GAAP measures in Exhibit 2.</w:t>
      </w:r>
    </w:p>
    <w:p>
      <w:pPr>
        <w:spacing w:after="0"/>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4"/>
          <w:szCs w:val="14"/>
          <w:color w:val="auto"/>
        </w:rPr>
        <w:t>Adjusted EBITDA represents adjusted net income before interest expense, income taxes, depreciation and amortization expense.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Capital Management and Balance Sheet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and cash equivalents were $352.4 million at September 30, 2026, compared to $ 214.4 million at December 31, 2025. During the September 30, 2026 quarter, the Company paid a dividend of $ 0.80 per share of Class A common stock with respect to the June 2026 quarter. The Company had total borrowings of $190.0 million at September 30, 2026 and December 31, 2025. On September 23, 2026, Artisan Partners Holdings LP replaced its existing $100 million revolving credit facility with a new $150 million five-year revolving credit facility that matures in September 2031. The previous facility was scheduled to mature in August 2027. There were no outstanding borrowings under the revolving credit facility at September 30, 2026.</w:t>
      </w:r>
    </w:p>
    <w:p>
      <w:pPr>
        <w:spacing w:after="0" w:line="7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Total stockholders’ equity was $485.3 million at September 30, 2026, compared to $478.1 million at December 31, 2025. The Company had 71.0 million Class A common shares outstanding at September 30, 2026. The Company’s debt leverage ratio, calculated in accordance with its loan agreements, was 0.38x at September 30,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Company’s board of directors declared a variable quarterly dividend of $0.88 per share of Class A common stock with respect to the September 2026 quarter. The variable quarterly dividend represents approximately 80% of the cash generated in the September 2026 quarter and will be paid on November 30, 2026, to shareholders of record as of the close of business on November 16, 2026. Based on our projections and subject to change, we expect some portion of the 2026 dividend payments to constitute a return of capital for tax purposes.</w:t>
      </w:r>
    </w:p>
    <w:p>
      <w:pPr>
        <w:spacing w:after="0" w:line="6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Subject to board approval each quarter, we currently expect to pay a quarterly dividend of approximately 80% of the cash the Company generates each quarter from operations. We expect cash generation will generally equal adjusted net income plus long-term incentive compensation expense, less cash reserved for future franchise capital awards, with additional adjustments made for certain other sources and uses of cash, including capital expenditures. After the end of the year, our board will consider payment of a special dividend from the 20% withheld each quarter plus any discrete sources and uses of cash throughout the year, including gains realized upon seed capital redemptions and investments redeemed in connection with forfeited franchise capital awards.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1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Conference Call</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will host a conference call on October 28, 2026, at 11:00 a.m. (Eastern Time) to discuss these results. Hosting the call will be Jason Gottlieb, Chief Executive Officer and President, and C.J. Daley, Chief Financial Officer. Supplemental materials that will be reviewed during the call are available on the Company’s website at www.apam.com. The call will be webcast and can be accessed via the Company’s website. Listeners may also access the call by dialing 877.328.5507 or 412.317.5423 for international callers; the conference ID is 10211561. A replay of the call will be available until November 4, 2026, at 9:00 a.m. (Eastern Time), by dialing 855.669.9658 or 412.317.0088 for international callers; the replay conference ID is 9164543. An audio recording will also be available on the Company’s website.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and Other Disclosures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Certain statements in this release, and other written or oral statements made by or on behalf of the Company, are “forward-looking statements” within the meaning of the federal securities laws. Statements regarding future events and our future performance, as well as management’s current expectations, beliefs, plans, estimates or projections relating to the future, are forward-looking statements within the meaning of these laws. These forward-looking statements are only predictions based on current expectations and projections about future events. These forward-looking statements are subject to a number of risks and uncertainties, and there are important factors that could cause actual results, level of activity, performance, actions or achievements to differ materially from the results, level of activity, performance,</w:t>
      </w:r>
    </w:p>
    <w:p>
      <w:pPr>
        <w:spacing w:after="0" w:line="2"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actions or achievements expressed or implied by the forward-looking statements. These factors include: the loss of key investment professionals or senior management, adverse market or economic conditions, poor performance of our investment strategies, significant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changes in client cash flows or declines in market value of the assets in the accounts we manage, change in the legislative and regulatory environment in which we operate, operational or technical errors or other matters that cause damage to our reputation, and other factors disclosed in the Company’s filings with the Securities and Exchange Commission, including those factors listed under the caption entitled “Risk Factors” in Item 1A of the Company’s Annual Report on Form 10-K for the fiscal year ended December 31, 2025, filed with the SEC on February 20, 2026, as such factors may be updated from time to time. Our periodic and current reports are accessible on the SEC's website at www.sec.gov. The Company undertakes no obligation to update any forward-looking statements in order to reflect events or circumstances that may arise after the date of this release except as required by law.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 (AUM) refers to the assets of pooled vehicles and separate accounts to which Artisan Partners provides services. Artisan Partners’ AUM as reported here includes assets of certain strategies for which Artisan Partners provides model portfolios to managed account sponsors, for which we earn only investment-related service fees. Model assets are generally reported on a lag not exceeding one quarter and represented $509 million, $382 million, and $114 million in aggregate as of September 30, 2026, June 30, 2026, and</w:t>
      </w:r>
    </w:p>
    <w:p>
      <w:pPr>
        <w:ind w:right="480"/>
        <w:spacing w:after="0" w:line="237" w:lineRule="auto"/>
        <w:rPr>
          <w:sz w:val="20"/>
          <w:szCs w:val="20"/>
          <w:color w:val="auto"/>
        </w:rPr>
      </w:pPr>
      <w:r>
        <w:rPr>
          <w:rFonts w:ascii="Arial" w:cs="Arial" w:eastAsia="Arial" w:hAnsi="Arial"/>
          <w:sz w:val="18"/>
          <w:szCs w:val="18"/>
          <w:color w:val="auto"/>
        </w:rPr>
        <w:t>September 30, 2025, respectively. Artisan's definition of AUM is not based on any definition of AUM contained in Form ADV or in any of Artisan's investment management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investment strategy described herein, and for different investment products within a strategy, are affected by numerous</w:t>
      </w:r>
    </w:p>
    <w:p>
      <w:pPr>
        <w:spacing w:after="0" w:line="14"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factors, including different material market or economic conditions; different investment management fee rates, brokerage commissions and other expenses; and the reinvestment of dividends or other earnings. The returns for any strategy may be positive or negative, and past performance does not guarantee future results. In these materials we present relative performance, sourced from Artisan Partners, MSCI, Russell, S&amp;P, JP Morgan and ICE BofA. Current performance may be lower or higher than the performance shown.</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Unless otherwise noted, composite returns have been presented gross of investment advisory fees applied to client accounts, but include applicable trade commissions and transaction costs. Management fees, when reflected, would reduce the results presented for an investor in</w:t>
      </w:r>
    </w:p>
    <w:p>
      <w:pPr>
        <w:spacing w:after="0" w:line="1"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an account managed within a composite. Net-of-fees composite returns presented in these materials were calculated using the highest model investment advisory fees applicable to portfolios within the composite. Fees may be higher for certain pooled vehicles, and the</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composite may include accounts with performance-based fees. Index returns do not reflect the payment of fees and expenses. Certain Artisan composite returns may be represented by a single account.</w:t>
      </w:r>
    </w:p>
    <w:p>
      <w:pPr>
        <w:spacing w:after="0" w:line="6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these materials, we present Value Added, which is the difference between an Artisan strategy's average annual return and the return of its respective benchmark. We may also present Excess Returns (alpha), which are an estimate of the amount in dollars by which Artisan's investment strategies have outperformed or underperformed their respective benchmark. Excess Returns are calculated by (i) multiplying a strategy's beginning-of-year AUM by the difference between the returns (in basis points) of the strategy (gross of fees, unless otherwise indicated) and the benchmark for the ensuing year and (ii) summing all strategies' Excess Returns for each year calculated. Investment returns and other includes all changes in AUM not included in Excess Returns, client cash flows, acquisitions, realizations and Artisan Funds distributions not reinvested. The benchmark used for purposes of presenting a strategy’s performance and calculating Value Added and Excess Returns is generally the market index most commonly used by our clients to compare the performance of the relevant strategy. For certain strategies that are managed for absolute return, the benchmark used for purposes of presenting a strategy’s performance and calculating Value Added and Excess Returns is the index used by the Company’s management to evaluate the performance of the strategy.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YTD Relative performance as presented in these materials compares the performance of a strategy's composite to its respective index.</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17" w:right="339" w:bottom="1440" w:gutter="0" w:footer="0" w:header="0"/>
          <w:type w:val="continuous"/>
        </w:sectPr>
      </w:pPr>
    </w:p>
    <w:bookmarkStart w:id="8" w:name="page9"/>
    <w:bookmarkEnd w:id="8"/>
    <w:p>
      <w:pPr>
        <w:spacing w:after="0" w:line="252" w:lineRule="auto"/>
        <w:rPr>
          <w:sz w:val="20"/>
          <w:szCs w:val="20"/>
          <w:color w:val="auto"/>
        </w:rPr>
      </w:pPr>
      <w:r>
        <w:rPr>
          <w:rFonts w:ascii="Arial" w:cs="Arial" w:eastAsia="Arial" w:hAnsi="Arial"/>
          <w:sz w:val="17"/>
          <w:szCs w:val="17"/>
          <w:color w:val="auto"/>
        </w:rPr>
        <w:t>Composites / Indexes used for the comparison calculations described are: Non-U.S. Growth Strategy / International Value Strategy-MSCI EAFE Index; Global Equity Strategy / Global Opportunities Strategy / Global Value Strategy / Franchise Strategy-MSCI All Country World Index; Global Discovery Strategy-MSCI All Country World Small Mid Cap Index; Non-U.S. Small-Mid Growth Strategy-MSCI All Country World Index Ex USA Small Mid Index; U.S. Mid-Cap Growth Strategy-Russell Midcap Growth® Index; U.S. Small-Cap Growth Strategy-Russell 2000 Growth® Index; Developing World Strategy / Sustainable Emerging Markets Strategy-MSCI Emerging Markets Index; High Income Strategy-ICE BofA U.S. High Yield Index; Credit Opportunities Strategy-ICE BofA U.S. Dollar 3-Month Deposit Offered Rate Constant</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Maturity Index; Antero Peak Strategy / Antero Peak Hedge Strategy / Select Equity Strategy-S&amp;P 500® Market Index; International Explorer Strategy-MSCI All Country World Index Ex USA Small Cap; Floating Rate Strategy-S&amp;P UBS Leveraged Loan Index; Global Unconstrained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Strategy-ICE BofA 3-Month U.S. Treasury Bill Index; Global Special Situations Strategy-ICE BofA Global High Yield Index; Emerging Markets Debt Opportunities Strategy-J.P. Morgan EMB Hard Currency/Local Currency 50-50; Emerging Markets Local Opportunities Strategy-J.P. Morgan GBI-EM Global Diversified Index. Where applicable, composite returns have been included for the following discontinued strategies and their indexes: Global Small-Cap Growth Strategy (Jul 1, 2013-Dec 31, 2016)-MSCI ACWI Small Cap Index; U.S. Small-Cap Value Strategy (Jun 1, 1997-Apr 30, 2016)-Russell 2000® Index; Non-U.S. Small-Cap Growth Strategy (Jan 1, 2002-Nov 30, 2018)-MSCI EAFE Small Cap Index; China Post-Venture Strategy (Apr 1, 2021-Jun 30, 2025)-MSCI China SMID Cap Index; U.S. Mid-Cap Value Strategy (Apr 1, 1999-Aug 30, 2026)-Russell Midcap Value® Index; Value Equity Strategy (Jul 1, 2005-Aug 30, 2026)-Russell 1000 Value® Index; Value Income Strategy (Mar 1, 2022-Aug 30, 2026)-S&amp;P 500® Market Index. Index returns do not reflect the payment of fees and expenses. An investment cannot be made directly in an Artisan Partners composite or a market index and the aggregated results are hypothetical.</w:t>
      </w:r>
    </w:p>
    <w:p>
      <w:pPr>
        <w:spacing w:after="0" w:line="6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None of the information in these materials constitutes either an offer or a solicitation to buy or sell any fund securities, nor is any such information a recommendation for any fund security or investment service. The funds and strategies may not be available to all investors in all jurisdictions.</w:t>
      </w:r>
    </w:p>
    <w:p>
      <w:pPr>
        <w:spacing w:after="0" w:line="4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As used by Artisan Partners, "lift-out" refers to our process of recruiting proven investment talent to join the Company and providing that talent with the resources and support needed to build out a new investment team at Artisan Partners.</w:t>
      </w:r>
    </w:p>
    <w:p>
      <w:pPr>
        <w:spacing w:after="0" w:line="5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Grandview Property Partners, LLC is a separate, wholly-owned subsidiary and a registered investment adviser with the U.S. Securities and Exchange Commission.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Any discrepancies included in this release between totals and the sums of the amounts listed are due to rounding.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About Artisan Partners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Source: Artisan Partners Asset Management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866.632.1770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ir@artisanpartners.com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241"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color w:val="3E3F3E"/>
        </w:rPr>
        <w:t>Exhibit 1</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6"/>
          <w:szCs w:val="16"/>
          <w:color w:val="3E3F3E"/>
        </w:rPr>
        <w:t>Artisan Partners Asset Management Inc.</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6"/>
          <w:szCs w:val="16"/>
          <w:color w:val="3E3F3E"/>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3E3F3E"/>
        </w:rPr>
        <w:t>(unaudited; in millions, except per share amounts or as noted)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rPr>
              <w:t>June 30,</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September 30,</w:t>
            </w:r>
          </w:p>
        </w:tc>
        <w:tc>
          <w:tcPr>
            <w:tcW w:w="1360" w:type="dxa"/>
            <w:vAlign w:val="bottom"/>
            <w:gridSpan w:val="3"/>
          </w:tcPr>
          <w:p>
            <w:pPr>
              <w:ind w:left="100"/>
              <w:spacing w:after="0"/>
              <w:rPr>
                <w:sz w:val="20"/>
                <w:szCs w:val="20"/>
                <w:color w:val="auto"/>
              </w:rPr>
            </w:pPr>
            <w:r>
              <w:rPr>
                <w:rFonts w:ascii="Arial" w:cs="Arial" w:eastAsia="Arial" w:hAnsi="Arial"/>
                <w:sz w:val="16"/>
                <w:szCs w:val="16"/>
                <w:color w:val="auto"/>
              </w:rPr>
              <w:t>September 30,</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6"/>
                <w:szCs w:val="16"/>
                <w:color w:val="auto"/>
              </w:rPr>
              <w:t>Management fees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6"/>
                <w:szCs w:val="16"/>
                <w:color w:val="auto"/>
              </w:rPr>
              <w:t>Artisan Funds and Artisan Global Funds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207.0</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597.9</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229"/>
        </w:trPr>
        <w:tc>
          <w:tcPr>
            <w:tcW w:w="4520" w:type="dxa"/>
            <w:vAlign w:val="bottom"/>
          </w:tcPr>
          <w:p>
            <w:pPr>
              <w:ind w:left="340"/>
              <w:spacing w:after="0"/>
              <w:rPr>
                <w:sz w:val="20"/>
                <w:szCs w:val="20"/>
                <w:color w:val="auto"/>
              </w:rPr>
            </w:pPr>
            <w:r>
              <w:rPr>
                <w:rFonts w:ascii="Arial" w:cs="Arial" w:eastAsia="Arial" w:hAnsi="Arial"/>
                <w:sz w:val="16"/>
                <w:szCs w:val="16"/>
                <w:color w:val="auto"/>
              </w:rPr>
              <w:t>Separate accounts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314.4</w:t>
            </w:r>
          </w:p>
        </w:tc>
        <w:tc>
          <w:tcPr>
            <w:tcW w:w="0" w:type="dxa"/>
            <w:vAlign w:val="bottom"/>
          </w:tcPr>
          <w:p>
            <w:pPr>
              <w:spacing w:after="0"/>
              <w:rPr>
                <w:sz w:val="1"/>
                <w:szCs w:val="1"/>
                <w:color w:val="auto"/>
              </w:rPr>
            </w:pPr>
          </w:p>
        </w:tc>
      </w:tr>
      <w:tr>
        <w:trPr>
          <w:trHeight w:val="231"/>
        </w:trPr>
        <w:tc>
          <w:tcPr>
            <w:tcW w:w="4520" w:type="dxa"/>
            <w:vAlign w:val="bottom"/>
          </w:tcPr>
          <w:p>
            <w:pPr>
              <w:spacing w:after="0"/>
              <w:rPr>
                <w:sz w:val="20"/>
                <w:szCs w:val="20"/>
                <w:color w:val="auto"/>
              </w:rPr>
            </w:pPr>
            <w:r>
              <w:rPr>
                <w:rFonts w:ascii="Arial" w:cs="Arial" w:eastAsia="Arial" w:hAnsi="Arial"/>
                <w:sz w:val="16"/>
                <w:szCs w:val="16"/>
                <w:color w:val="auto"/>
              </w:rPr>
              <w:t>Performance fees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861.2</w:t>
            </w:r>
          </w:p>
        </w:tc>
        <w:tc>
          <w:tcPr>
            <w:tcW w:w="0" w:type="dxa"/>
            <w:vAlign w:val="bottom"/>
          </w:tcPr>
          <w:p>
            <w:pPr>
              <w:spacing w:after="0"/>
              <w:rPr>
                <w:sz w:val="1"/>
                <w:szCs w:val="1"/>
                <w:color w:val="auto"/>
              </w:rPr>
            </w:pPr>
          </w:p>
        </w:tc>
      </w:tr>
      <w:tr>
        <w:trPr>
          <w:trHeight w:val="479"/>
        </w:trPr>
        <w:tc>
          <w:tcPr>
            <w:tcW w:w="4520" w:type="dxa"/>
            <w:vAlign w:val="bottom"/>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484.3</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6"/>
                <w:szCs w:val="16"/>
                <w:color w:val="auto"/>
              </w:rPr>
              <w:t>Distribution, servicing and marketing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6"/>
                <w:szCs w:val="16"/>
                <w:color w:val="auto"/>
              </w:rPr>
              <w:t>Communication and technology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1"/>
        </w:trPr>
        <w:tc>
          <w:tcPr>
            <w:tcW w:w="452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593.1</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29"/>
        </w:trPr>
        <w:tc>
          <w:tcPr>
            <w:tcW w:w="45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6"/>
                <w:szCs w:val="16"/>
                <w:color w:val="auto"/>
              </w:rPr>
              <w:t>Interest income on cash and cash equivalents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6"/>
                <w:szCs w:val="16"/>
                <w:color w:val="auto"/>
              </w:rPr>
              <w:t>Gain (loss) on non-operating liabilities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78"/>
        </w:trPr>
        <w:tc>
          <w:tcPr>
            <w:tcW w:w="4520" w:type="dxa"/>
            <w:vAlign w:val="bottom"/>
          </w:tcPr>
          <w:p>
            <w:pPr>
              <w:ind w:left="340"/>
              <w:spacing w:after="0" w:line="178" w:lineRule="exact"/>
              <w:rPr>
                <w:sz w:val="20"/>
                <w:szCs w:val="20"/>
                <w:color w:val="auto"/>
              </w:rPr>
            </w:pPr>
            <w:r>
              <w:rPr>
                <w:rFonts w:ascii="Arial" w:cs="Arial" w:eastAsia="Arial" w:hAnsi="Arial"/>
                <w:sz w:val="16"/>
                <w:szCs w:val="16"/>
                <w:color w:val="auto"/>
              </w:rPr>
              <w:t>Net investment gain (loss) of consolidated investment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5"/>
        </w:trPr>
        <w:tc>
          <w:tcPr>
            <w:tcW w:w="4520" w:type="dxa"/>
            <w:vAlign w:val="bottom"/>
          </w:tcPr>
          <w:p>
            <w:pPr>
              <w:ind w:left="340"/>
              <w:spacing w:after="0"/>
              <w:rPr>
                <w:sz w:val="20"/>
                <w:szCs w:val="20"/>
                <w:color w:val="auto"/>
              </w:rPr>
            </w:pPr>
            <w:r>
              <w:rPr>
                <w:rFonts w:ascii="Arial" w:cs="Arial" w:eastAsia="Arial" w:hAnsi="Arial"/>
                <w:sz w:val="16"/>
                <w:szCs w:val="16"/>
                <w:color w:val="auto"/>
              </w:rPr>
              <w:t>products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520" w:type="dxa"/>
            <w:vAlign w:val="bottom"/>
          </w:tcPr>
          <w:p>
            <w:pPr>
              <w:ind w:left="340"/>
              <w:spacing w:after="0" w:line="177" w:lineRule="exact"/>
              <w:rPr>
                <w:sz w:val="20"/>
                <w:szCs w:val="20"/>
                <w:color w:val="auto"/>
              </w:rPr>
            </w:pPr>
            <w:r>
              <w:rPr>
                <w:rFonts w:ascii="Arial" w:cs="Arial" w:eastAsia="Arial" w:hAnsi="Arial"/>
                <w:sz w:val="16"/>
                <w:szCs w:val="16"/>
                <w:color w:val="auto"/>
              </w:rPr>
              <w:t>Net investment gain (loss) of nonconsolidated investment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5"/>
        </w:trPr>
        <w:tc>
          <w:tcPr>
            <w:tcW w:w="4520" w:type="dxa"/>
            <w:vAlign w:val="bottom"/>
          </w:tcPr>
          <w:p>
            <w:pPr>
              <w:ind w:left="340"/>
              <w:spacing w:after="0"/>
              <w:rPr>
                <w:sz w:val="20"/>
                <w:szCs w:val="20"/>
                <w:color w:val="auto"/>
              </w:rPr>
            </w:pPr>
            <w:r>
              <w:rPr>
                <w:rFonts w:ascii="Arial" w:cs="Arial" w:eastAsia="Arial" w:hAnsi="Arial"/>
                <w:sz w:val="16"/>
                <w:szCs w:val="16"/>
                <w:color w:val="auto"/>
              </w:rPr>
              <w:t>products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6"/>
                <w:szCs w:val="16"/>
                <w:color w:val="auto"/>
              </w:rPr>
              <w:t>Total non-operating income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31"/>
        </w:trPr>
        <w:tc>
          <w:tcPr>
            <w:tcW w:w="45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6"/>
                <w:szCs w:val="16"/>
                <w:color w:val="auto"/>
              </w:rPr>
              <w:t>Net income before noncontrolling interests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178"/>
        </w:trPr>
        <w:tc>
          <w:tcPr>
            <w:tcW w:w="4520" w:type="dxa"/>
            <w:vAlign w:val="bottom"/>
          </w:tcPr>
          <w:p>
            <w:pPr>
              <w:spacing w:after="0" w:line="178" w:lineRule="exact"/>
              <w:rPr>
                <w:sz w:val="20"/>
                <w:szCs w:val="20"/>
                <w:color w:val="auto"/>
              </w:rPr>
            </w:pPr>
            <w:r>
              <w:rPr>
                <w:rFonts w:ascii="Arial" w:cs="Arial" w:eastAsia="Arial" w:hAnsi="Arial"/>
                <w:sz w:val="16"/>
                <w:szCs w:val="16"/>
                <w:color w:val="auto"/>
              </w:rPr>
              <w:t>Less: Net income attributable to noncontrolling interests -</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5"/>
        </w:trPr>
        <w:tc>
          <w:tcPr>
            <w:tcW w:w="4520" w:type="dxa"/>
            <w:vAlign w:val="bottom"/>
          </w:tcPr>
          <w:p>
            <w:pPr>
              <w:ind w:left="160"/>
              <w:spacing w:after="0"/>
              <w:rPr>
                <w:sz w:val="20"/>
                <w:szCs w:val="20"/>
                <w:color w:val="auto"/>
              </w:rPr>
            </w:pPr>
            <w:r>
              <w:rPr>
                <w:rFonts w:ascii="Arial" w:cs="Arial" w:eastAsia="Arial" w:hAnsi="Arial"/>
                <w:sz w:val="16"/>
                <w:szCs w:val="16"/>
                <w:color w:val="auto"/>
              </w:rPr>
              <w:t>Artisan Partners Holdings LP</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line="177" w:lineRule="exact"/>
              <w:rPr>
                <w:sz w:val="20"/>
                <w:szCs w:val="20"/>
                <w:color w:val="auto"/>
              </w:rPr>
            </w:pPr>
            <w:r>
              <w:rPr>
                <w:rFonts w:ascii="Arial" w:cs="Arial" w:eastAsia="Arial" w:hAnsi="Arial"/>
                <w:sz w:val="16"/>
                <w:szCs w:val="16"/>
                <w:color w:val="auto"/>
              </w:rPr>
              <w:t>Less: Net income (loss) attributable to noncontrolling interests</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5"/>
        </w:trPr>
        <w:tc>
          <w:tcPr>
            <w:tcW w:w="4520" w:type="dxa"/>
            <w:vAlign w:val="bottom"/>
          </w:tcPr>
          <w:p>
            <w:pPr>
              <w:ind w:left="160"/>
              <w:spacing w:after="0"/>
              <w:rPr>
                <w:sz w:val="20"/>
                <w:szCs w:val="20"/>
                <w:color w:val="auto"/>
              </w:rPr>
            </w:pPr>
            <w:r>
              <w:rPr>
                <w:rFonts w:ascii="Arial" w:cs="Arial" w:eastAsia="Arial" w:hAnsi="Arial"/>
                <w:sz w:val="16"/>
                <w:szCs w:val="16"/>
                <w:color w:val="auto"/>
              </w:rPr>
              <w:t>- consolidated investment products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line="157" w:lineRule="exact"/>
              <w:rPr>
                <w:sz w:val="20"/>
                <w:szCs w:val="20"/>
                <w:color w:val="auto"/>
              </w:rPr>
            </w:pPr>
            <w:r>
              <w:rPr>
                <w:rFonts w:ascii="Arial" w:cs="Arial" w:eastAsia="Arial" w:hAnsi="Arial"/>
                <w:sz w:val="16"/>
                <w:szCs w:val="16"/>
                <w:color w:val="auto"/>
              </w:rPr>
              <w:t>Net income attributable to Artisan Partners Asset Management</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75.2</w:t>
            </w: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13"/>
                <w:szCs w:val="13"/>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194"/>
        </w:trPr>
        <w:tc>
          <w:tcPr>
            <w:tcW w:w="4520" w:type="dxa"/>
            <w:vAlign w:val="bottom"/>
          </w:tcPr>
          <w:p>
            <w:pPr>
              <w:ind w:left="160"/>
              <w:spacing w:after="0"/>
              <w:rPr>
                <w:sz w:val="20"/>
                <w:szCs w:val="20"/>
                <w:color w:val="auto"/>
              </w:rPr>
            </w:pPr>
            <w:r>
              <w:rPr>
                <w:rFonts w:ascii="Arial" w:cs="Arial" w:eastAsia="Arial" w:hAnsi="Arial"/>
                <w:sz w:val="16"/>
                <w:szCs w:val="16"/>
                <w:color w:val="auto"/>
              </w:rPr>
              <w:t>Inc.</w:t>
            </w: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6"/>
                <w:szCs w:val="16"/>
                <w:color w:val="auto"/>
              </w:rPr>
              <w:t>Basic earnings per share - Class A common shares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6"/>
                <w:szCs w:val="16"/>
                <w:color w:val="auto"/>
              </w:rPr>
              <w:t>Diluted earnings per share - Class A common shares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500"/>
        </w:trPr>
        <w:tc>
          <w:tcPr>
            <w:tcW w:w="4520" w:type="dxa"/>
            <w:vAlign w:val="bottom"/>
          </w:tcPr>
          <w:p>
            <w:pPr>
              <w:spacing w:after="0"/>
              <w:rPr>
                <w:sz w:val="20"/>
                <w:szCs w:val="20"/>
                <w:color w:val="auto"/>
              </w:rPr>
            </w:pPr>
            <w:r>
              <w:rPr>
                <w:rFonts w:ascii="Arial" w:cs="Arial" w:eastAsia="Arial" w:hAnsi="Arial"/>
                <w:sz w:val="16"/>
                <w:szCs w:val="16"/>
                <w:color w:val="auto"/>
              </w:rPr>
              <w:t>Average shares outstanding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6"/>
                <w:szCs w:val="16"/>
                <w:color w:val="auto"/>
              </w:rPr>
              <w:t>Class A common shares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6"/>
                <w:szCs w:val="16"/>
                <w:color w:val="auto"/>
              </w:rPr>
              <w:t>Participating unvested restricted share-based awards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2"/>
        </w:trPr>
        <w:tc>
          <w:tcPr>
            <w:tcW w:w="4520" w:type="dxa"/>
            <w:vAlign w:val="bottom"/>
          </w:tcPr>
          <w:p>
            <w:pPr>
              <w:ind w:left="120"/>
              <w:spacing w:after="0"/>
              <w:rPr>
                <w:sz w:val="20"/>
                <w:szCs w:val="20"/>
                <w:color w:val="auto"/>
              </w:rPr>
            </w:pPr>
            <w:r>
              <w:rPr>
                <w:rFonts w:ascii="Arial" w:cs="Arial" w:eastAsia="Arial" w:hAnsi="Arial"/>
                <w:sz w:val="16"/>
                <w:szCs w:val="16"/>
                <w:color w:val="auto"/>
              </w:rPr>
              <w:t>Total average shares outstanding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4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color w:val="3E3F3E"/>
        </w:rPr>
        <w:t>Exhibit 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3E3F3E"/>
        </w:rPr>
        <w:t>Artisan Partners Asset Management Inc.</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6"/>
          <w:szCs w:val="16"/>
          <w:color w:val="3E3F3E"/>
        </w:rPr>
        <w:t>Reconciliation of GAAP to Non-GAAP (“Adjusted”) Measures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6"/>
          <w:szCs w:val="16"/>
          <w:color w:val="3E3F3E"/>
        </w:rPr>
        <w:t>(unaudited; in millions, except per share amounts or as noted)</w:t>
      </w: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Net income attributable to Artisan Partners Asset Management Inc. (GAAP)</w:t>
      </w:r>
    </w:p>
    <w:p>
      <w:pPr>
        <w:spacing w:after="0" w:line="7" w:lineRule="exact"/>
        <w:rPr>
          <w:sz w:val="20"/>
          <w:szCs w:val="20"/>
          <w:color w:val="auto"/>
        </w:rPr>
      </w:pPr>
    </w:p>
    <w:p>
      <w:pPr>
        <w:ind w:left="160" w:right="240" w:hanging="161"/>
        <w:spacing w:after="0" w:line="251" w:lineRule="auto"/>
        <w:rPr>
          <w:sz w:val="20"/>
          <w:szCs w:val="20"/>
          <w:color w:val="auto"/>
        </w:rPr>
      </w:pPr>
      <w:r>
        <w:rPr>
          <w:rFonts w:ascii="Arial" w:cs="Arial" w:eastAsia="Arial" w:hAnsi="Arial"/>
          <w:sz w:val="16"/>
          <w:szCs w:val="16"/>
          <w:color w:val="auto"/>
        </w:rPr>
        <w:t>Add back: Net income attributable to noncontrolling interests - Artisan Partners Holdings LP</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Add back: Provision for income taxes</w:t>
      </w:r>
    </w:p>
    <w:p>
      <w:pPr>
        <w:spacing w:after="0" w:line="46" w:lineRule="exact"/>
        <w:rPr>
          <w:sz w:val="20"/>
          <w:szCs w:val="20"/>
          <w:color w:val="auto"/>
        </w:rPr>
      </w:pPr>
    </w:p>
    <w:p>
      <w:pPr>
        <w:ind w:left="160" w:hanging="161"/>
        <w:spacing w:after="0" w:line="251" w:lineRule="auto"/>
        <w:rPr>
          <w:sz w:val="20"/>
          <w:szCs w:val="20"/>
          <w:color w:val="auto"/>
        </w:rPr>
      </w:pPr>
      <w:r>
        <w:rPr>
          <w:rFonts w:ascii="Arial" w:cs="Arial" w:eastAsia="Arial" w:hAnsi="Arial"/>
          <w:sz w:val="16"/>
          <w:szCs w:val="16"/>
          <w:color w:val="auto"/>
        </w:rPr>
        <w:t>Add back: Compensation expense (reversal) related to market valuation changes in compensation plans</w:t>
      </w:r>
    </w:p>
    <w:p>
      <w:pPr>
        <w:spacing w:after="0" w:line="7" w:lineRule="exact"/>
        <w:rPr>
          <w:sz w:val="20"/>
          <w:szCs w:val="20"/>
          <w:color w:val="auto"/>
        </w:rPr>
      </w:pPr>
    </w:p>
    <w:p>
      <w:pPr>
        <w:ind w:left="160" w:right="740" w:hanging="161"/>
        <w:spacing w:after="0" w:line="251" w:lineRule="auto"/>
        <w:rPr>
          <w:sz w:val="20"/>
          <w:szCs w:val="20"/>
          <w:color w:val="auto"/>
        </w:rPr>
      </w:pPr>
      <w:r>
        <w:rPr>
          <w:rFonts w:ascii="Arial" w:cs="Arial" w:eastAsia="Arial" w:hAnsi="Arial"/>
          <w:sz w:val="16"/>
          <w:szCs w:val="16"/>
          <w:color w:val="auto"/>
        </w:rPr>
        <w:t>Add back: Change in fair value of contingent consideration</w:t>
      </w:r>
    </w:p>
    <w:p>
      <w:pPr>
        <w:spacing w:after="0" w:line="7" w:lineRule="exact"/>
        <w:rPr>
          <w:sz w:val="20"/>
          <w:szCs w:val="20"/>
          <w:color w:val="auto"/>
        </w:rPr>
      </w:pPr>
    </w:p>
    <w:p>
      <w:pPr>
        <w:ind w:right="560"/>
        <w:spacing w:after="0" w:line="251" w:lineRule="auto"/>
        <w:rPr>
          <w:sz w:val="20"/>
          <w:szCs w:val="20"/>
          <w:color w:val="auto"/>
        </w:rPr>
      </w:pPr>
      <w:r>
        <w:rPr>
          <w:rFonts w:ascii="Arial" w:cs="Arial" w:eastAsia="Arial" w:hAnsi="Arial"/>
          <w:sz w:val="16"/>
          <w:szCs w:val="16"/>
          <w:color w:val="auto"/>
        </w:rPr>
        <w:t>Add back: Net (gain) loss on the tax receivable agreements</w:t>
      </w:r>
    </w:p>
    <w:p>
      <w:pPr>
        <w:spacing w:after="0" w:line="7" w:lineRule="exact"/>
        <w:rPr>
          <w:sz w:val="20"/>
          <w:szCs w:val="20"/>
          <w:color w:val="auto"/>
        </w:rPr>
      </w:pPr>
    </w:p>
    <w:p>
      <w:pPr>
        <w:ind w:left="160" w:right="260" w:hanging="161"/>
        <w:spacing w:after="0" w:line="251" w:lineRule="auto"/>
        <w:rPr>
          <w:sz w:val="20"/>
          <w:szCs w:val="20"/>
          <w:color w:val="auto"/>
        </w:rPr>
      </w:pPr>
      <w:r>
        <w:rPr>
          <w:rFonts w:ascii="Arial" w:cs="Arial" w:eastAsia="Arial" w:hAnsi="Arial"/>
          <w:sz w:val="16"/>
          <w:szCs w:val="16"/>
          <w:color w:val="auto"/>
        </w:rPr>
        <w:t>Add back: Net investment (gain) loss of investment products attributable to APAM</w:t>
      </w:r>
    </w:p>
    <w:p>
      <w:pPr>
        <w:spacing w:after="0" w:line="7" w:lineRule="exact"/>
        <w:rPr>
          <w:sz w:val="20"/>
          <w:szCs w:val="20"/>
          <w:color w:val="auto"/>
        </w:rPr>
      </w:pPr>
    </w:p>
    <w:p>
      <w:pPr>
        <w:ind w:right="920"/>
        <w:spacing w:after="0" w:line="356" w:lineRule="auto"/>
        <w:rPr>
          <w:sz w:val="20"/>
          <w:szCs w:val="20"/>
          <w:color w:val="auto"/>
        </w:rPr>
      </w:pPr>
      <w:r>
        <w:rPr>
          <w:rFonts w:ascii="Arial" w:cs="Arial" w:eastAsia="Arial" w:hAnsi="Arial"/>
          <w:sz w:val="16"/>
          <w:szCs w:val="16"/>
          <w:color w:val="auto"/>
        </w:rPr>
        <w:t>Less: Adjusted provision for income taxes Adjusted net income (Non-GAAP)</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Three Months Ended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Nine Months Ended</w:t>
            </w:r>
          </w:p>
        </w:tc>
      </w:tr>
      <w:tr>
        <w:trPr>
          <w:trHeight w:val="222"/>
        </w:trPr>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rPr>
              <w:t>June 30,</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color w:val="auto"/>
              </w:rPr>
              <w:t>September 30,</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September 30,</w:t>
            </w:r>
          </w:p>
        </w:tc>
      </w:tr>
      <w:tr>
        <w:trPr>
          <w:trHeight w:val="230"/>
        </w:trPr>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2026</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2025</w:t>
            </w:r>
          </w:p>
        </w:tc>
      </w:tr>
      <w:tr>
        <w:trPr>
          <w:trHeight w:val="37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195.5</w:t>
            </w:r>
          </w:p>
        </w:tc>
      </w:tr>
      <w:tr>
        <w:trPr>
          <w:trHeight w:val="392"/>
        </w:trPr>
        <w:tc>
          <w:tcPr>
            <w:tcW w:w="1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40.3</w:t>
            </w:r>
          </w:p>
        </w:tc>
      </w:tr>
      <w:tr>
        <w:trPr>
          <w:trHeight w:val="229"/>
        </w:trPr>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81.8</w:t>
            </w:r>
          </w:p>
        </w:tc>
      </w:tr>
      <w:tr>
        <w:trPr>
          <w:trHeight w:val="392"/>
        </w:trPr>
        <w:tc>
          <w:tcPr>
            <w:tcW w:w="1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19.7</w:t>
            </w:r>
          </w:p>
        </w:tc>
      </w:tr>
      <w:tr>
        <w:trPr>
          <w:trHeight w:val="392"/>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92"/>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391"/>
        </w:trPr>
        <w:tc>
          <w:tcPr>
            <w:tcW w:w="1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(48.3)</w:t>
            </w:r>
          </w:p>
        </w:tc>
      </w:tr>
      <w:tr>
        <w:trPr>
          <w:trHeight w:val="231"/>
        </w:trPr>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71.2</w:t>
            </w:r>
          </w:p>
        </w:tc>
      </w:tr>
      <w:tr>
        <w:trPr>
          <w:trHeight w:val="222"/>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84.2</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217.2</w:t>
            </w:r>
          </w:p>
        </w:tc>
      </w:tr>
    </w:tbl>
    <w:p>
      <w:pPr>
        <w:spacing w:after="0" w:line="406" w:lineRule="exact"/>
        <w:rPr>
          <w:sz w:val="20"/>
          <w:szCs w:val="20"/>
          <w:color w:val="auto"/>
        </w:rPr>
      </w:pPr>
    </w:p>
    <w:p>
      <w:pPr>
        <w:sectPr>
          <w:pgSz w:w="11900" w:h="16838" w:orient="portrait"/>
          <w:cols w:equalWidth="0" w:num="2">
            <w:col w:w="3920" w:space="180"/>
            <w:col w:w="7120"/>
          </w:cols>
          <w:pgMar w:left="34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Class A common shares</w:t>
            </w:r>
          </w:p>
        </w:tc>
        <w:tc>
          <w:tcPr>
            <w:tcW w:w="4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392"/>
        </w:trPr>
        <w:tc>
          <w:tcPr>
            <w:tcW w:w="4100" w:type="dxa"/>
            <w:vAlign w:val="bottom"/>
          </w:tcPr>
          <w:p>
            <w:pPr>
              <w:spacing w:after="0"/>
              <w:rPr>
                <w:sz w:val="20"/>
                <w:szCs w:val="20"/>
                <w:color w:val="auto"/>
              </w:rPr>
            </w:pPr>
            <w:r>
              <w:rPr>
                <w:rFonts w:ascii="Arial" w:cs="Arial" w:eastAsia="Arial" w:hAnsi="Arial"/>
                <w:sz w:val="16"/>
                <w:szCs w:val="16"/>
                <w:color w:val="auto"/>
              </w:rPr>
              <w:t>Assumed vesting or exchange of:</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6"/>
                <w:szCs w:val="16"/>
                <w:color w:val="auto"/>
              </w:rPr>
              <w:t>Unvested restricted share-based awards</w:t>
            </w: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78"/>
        </w:trPr>
        <w:tc>
          <w:tcPr>
            <w:tcW w:w="4100" w:type="dxa"/>
            <w:vAlign w:val="bottom"/>
          </w:tcPr>
          <w:p>
            <w:pPr>
              <w:ind w:left="120"/>
              <w:spacing w:after="0" w:line="178" w:lineRule="exact"/>
              <w:rPr>
                <w:sz w:val="20"/>
                <w:szCs w:val="20"/>
                <w:color w:val="auto"/>
              </w:rPr>
            </w:pPr>
            <w:r>
              <w:rPr>
                <w:rFonts w:ascii="Arial" w:cs="Arial" w:eastAsia="Arial" w:hAnsi="Arial"/>
                <w:sz w:val="16"/>
                <w:szCs w:val="16"/>
                <w:color w:val="auto"/>
              </w:rPr>
              <w:t>Artisan Partners Holdings LP units outstanding</w:t>
            </w: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4100" w:type="dxa"/>
            <w:vAlign w:val="bottom"/>
          </w:tcPr>
          <w:p>
            <w:pPr>
              <w:ind w:left="280"/>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Adjusted shares</w:t>
            </w: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391"/>
        </w:trPr>
        <w:tc>
          <w:tcPr>
            <w:tcW w:w="4100" w:type="dxa"/>
            <w:vAlign w:val="bottom"/>
          </w:tcPr>
          <w:p>
            <w:pPr>
              <w:spacing w:after="0"/>
              <w:rPr>
                <w:sz w:val="20"/>
                <w:szCs w:val="20"/>
                <w:color w:val="auto"/>
              </w:rPr>
            </w:pPr>
            <w:r>
              <w:rPr>
                <w:rFonts w:ascii="Arial" w:cs="Arial" w:eastAsia="Arial" w:hAnsi="Arial"/>
                <w:sz w:val="16"/>
                <w:szCs w:val="16"/>
                <w:color w:val="auto"/>
              </w:rPr>
              <w:t>Basic and diluted earnings per share (GAAP)</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6"/>
                <w:szCs w:val="16"/>
                <w:color w:val="auto"/>
              </w:rPr>
              <w:t>Adjusted net income per adjusted share (Non-GAAP)</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92"/>
        </w:trPr>
        <w:tc>
          <w:tcPr>
            <w:tcW w:w="4100" w:type="dxa"/>
            <w:vAlign w:val="bottom"/>
          </w:tcPr>
          <w:p>
            <w:pPr>
              <w:spacing w:after="0"/>
              <w:rPr>
                <w:sz w:val="20"/>
                <w:szCs w:val="20"/>
                <w:color w:val="auto"/>
              </w:rPr>
            </w:pPr>
            <w:r>
              <w:rPr>
                <w:rFonts w:ascii="Arial" w:cs="Arial" w:eastAsia="Arial" w:hAnsi="Arial"/>
                <w:sz w:val="16"/>
                <w:szCs w:val="16"/>
                <w:color w:val="auto"/>
              </w:rPr>
              <w:t>Operating income (GAAP)</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177"/>
        </w:trPr>
        <w:tc>
          <w:tcPr>
            <w:tcW w:w="4100" w:type="dxa"/>
            <w:vAlign w:val="bottom"/>
          </w:tcPr>
          <w:p>
            <w:pPr>
              <w:spacing w:after="0" w:line="178" w:lineRule="exact"/>
              <w:rPr>
                <w:sz w:val="20"/>
                <w:szCs w:val="20"/>
                <w:color w:val="auto"/>
              </w:rPr>
            </w:pPr>
            <w:r>
              <w:rPr>
                <w:rFonts w:ascii="Arial" w:cs="Arial" w:eastAsia="Arial" w:hAnsi="Arial"/>
                <w:sz w:val="16"/>
                <w:szCs w:val="16"/>
                <w:color w:val="auto"/>
              </w:rPr>
              <w:t>Add back: Compensation expense (reversal) related to</w:t>
            </w: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4100" w:type="dxa"/>
            <w:vAlign w:val="bottom"/>
          </w:tcPr>
          <w:p>
            <w:pPr>
              <w:ind w:left="160"/>
              <w:spacing w:after="0"/>
              <w:rPr>
                <w:sz w:val="20"/>
                <w:szCs w:val="20"/>
                <w:color w:val="auto"/>
              </w:rPr>
            </w:pPr>
            <w:r>
              <w:rPr>
                <w:rFonts w:ascii="Arial" w:cs="Arial" w:eastAsia="Arial" w:hAnsi="Arial"/>
                <w:sz w:val="16"/>
                <w:szCs w:val="16"/>
                <w:color w:val="auto"/>
              </w:rPr>
              <w:t>market valuation changes in compensation plans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Adjusted operating income (Non-GAAP)</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392"/>
        </w:trPr>
        <w:tc>
          <w:tcPr>
            <w:tcW w:w="4100" w:type="dxa"/>
            <w:vAlign w:val="bottom"/>
          </w:tcPr>
          <w:p>
            <w:pPr>
              <w:spacing w:after="0"/>
              <w:rPr>
                <w:sz w:val="20"/>
                <w:szCs w:val="20"/>
                <w:color w:val="auto"/>
              </w:rPr>
            </w:pPr>
            <w:r>
              <w:rPr>
                <w:rFonts w:ascii="Arial" w:cs="Arial" w:eastAsia="Arial" w:hAnsi="Arial"/>
                <w:sz w:val="16"/>
                <w:szCs w:val="16"/>
                <w:color w:val="auto"/>
              </w:rPr>
              <w:t>Operating margin (GAAP)</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31.1 %</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6"/>
                <w:szCs w:val="16"/>
                <w:color w:val="auto"/>
              </w:rPr>
              <w:t>Adjusted operating margin (Non-GAAP)</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33.4 %</w:t>
            </w:r>
          </w:p>
        </w:tc>
        <w:tc>
          <w:tcPr>
            <w:tcW w:w="0" w:type="dxa"/>
            <w:vAlign w:val="bottom"/>
          </w:tcPr>
          <w:p>
            <w:pPr>
              <w:spacing w:after="0"/>
              <w:rPr>
                <w:sz w:val="1"/>
                <w:szCs w:val="1"/>
                <w:color w:val="auto"/>
              </w:rPr>
            </w:pPr>
          </w:p>
        </w:tc>
      </w:tr>
      <w:tr>
        <w:trPr>
          <w:trHeight w:val="339"/>
        </w:trPr>
        <w:tc>
          <w:tcPr>
            <w:tcW w:w="4100" w:type="dxa"/>
            <w:vAlign w:val="bottom"/>
          </w:tcPr>
          <w:p>
            <w:pPr>
              <w:ind w:left="160"/>
              <w:spacing w:after="0"/>
              <w:rPr>
                <w:sz w:val="20"/>
                <w:szCs w:val="20"/>
                <w:color w:val="auto"/>
              </w:rPr>
            </w:pPr>
            <w:r>
              <w:rPr>
                <w:rFonts w:ascii="Arial" w:cs="Arial" w:eastAsia="Arial" w:hAnsi="Arial"/>
                <w:sz w:val="16"/>
                <w:szCs w:val="16"/>
                <w:color w:val="auto"/>
              </w:rPr>
              <w:t>Net income attributable to Artisan Partners Asset</w:t>
            </w: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4"/>
                <w:szCs w:val="24"/>
                <w:color w:val="auto"/>
              </w:rPr>
            </w:pPr>
          </w:p>
        </w:tc>
        <w:tc>
          <w:tcPr>
            <w:tcW w:w="4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4"/>
                <w:szCs w:val="2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4"/>
                <w:szCs w:val="2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24"/>
                <w:szCs w:val="24"/>
                <w:color w:val="auto"/>
              </w:rPr>
            </w:pPr>
          </w:p>
        </w:tc>
        <w:tc>
          <w:tcPr>
            <w:tcW w:w="44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15"/>
        </w:trPr>
        <w:tc>
          <w:tcPr>
            <w:tcW w:w="4100" w:type="dxa"/>
            <w:vAlign w:val="bottom"/>
          </w:tcPr>
          <w:p>
            <w:pPr>
              <w:ind w:left="160"/>
              <w:spacing w:after="0"/>
              <w:rPr>
                <w:sz w:val="20"/>
                <w:szCs w:val="20"/>
                <w:color w:val="auto"/>
              </w:rPr>
            </w:pPr>
            <w:r>
              <w:rPr>
                <w:rFonts w:ascii="Arial" w:cs="Arial" w:eastAsia="Arial" w:hAnsi="Arial"/>
                <w:sz w:val="16"/>
                <w:szCs w:val="16"/>
                <w:color w:val="auto"/>
              </w:rPr>
              <w:t>Management Inc. (GAAP)</w:t>
            </w:r>
          </w:p>
        </w:tc>
        <w:tc>
          <w:tcPr>
            <w:tcW w:w="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line="177" w:lineRule="exact"/>
              <w:rPr>
                <w:sz w:val="20"/>
                <w:szCs w:val="20"/>
                <w:color w:val="auto"/>
              </w:rPr>
            </w:pPr>
            <w:r>
              <w:rPr>
                <w:rFonts w:ascii="Arial" w:cs="Arial" w:eastAsia="Arial" w:hAnsi="Arial"/>
                <w:sz w:val="16"/>
                <w:szCs w:val="16"/>
                <w:color w:val="auto"/>
              </w:rPr>
              <w:t>Add back: Net income attributable to noncontrolling</w:t>
            </w: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5"/>
        </w:trPr>
        <w:tc>
          <w:tcPr>
            <w:tcW w:w="4100" w:type="dxa"/>
            <w:vAlign w:val="bottom"/>
          </w:tcPr>
          <w:p>
            <w:pPr>
              <w:ind w:left="160"/>
              <w:spacing w:after="0"/>
              <w:rPr>
                <w:sz w:val="20"/>
                <w:szCs w:val="20"/>
                <w:color w:val="auto"/>
              </w:rPr>
            </w:pPr>
            <w:r>
              <w:rPr>
                <w:rFonts w:ascii="Arial" w:cs="Arial" w:eastAsia="Arial" w:hAnsi="Arial"/>
                <w:sz w:val="16"/>
                <w:szCs w:val="16"/>
                <w:color w:val="auto"/>
              </w:rPr>
              <w:t>interests - Artisan Partners Holdings LP</w:t>
            </w: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line="177" w:lineRule="exact"/>
              <w:rPr>
                <w:sz w:val="20"/>
                <w:szCs w:val="20"/>
                <w:color w:val="auto"/>
              </w:rPr>
            </w:pPr>
            <w:r>
              <w:rPr>
                <w:rFonts w:ascii="Arial" w:cs="Arial" w:eastAsia="Arial" w:hAnsi="Arial"/>
                <w:sz w:val="16"/>
                <w:szCs w:val="16"/>
                <w:color w:val="auto"/>
              </w:rPr>
              <w:t>Add back: Compensation expense (reversal) related to</w:t>
            </w: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4100" w:type="dxa"/>
            <w:vAlign w:val="bottom"/>
          </w:tcPr>
          <w:p>
            <w:pPr>
              <w:ind w:left="160"/>
              <w:spacing w:after="0"/>
              <w:rPr>
                <w:sz w:val="20"/>
                <w:szCs w:val="20"/>
                <w:color w:val="auto"/>
              </w:rPr>
            </w:pPr>
            <w:r>
              <w:rPr>
                <w:rFonts w:ascii="Arial" w:cs="Arial" w:eastAsia="Arial" w:hAnsi="Arial"/>
                <w:sz w:val="16"/>
                <w:szCs w:val="16"/>
                <w:color w:val="auto"/>
              </w:rPr>
              <w:t>market valuation changes in compensation plans</w:t>
            </w: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line="177" w:lineRule="exact"/>
              <w:rPr>
                <w:sz w:val="20"/>
                <w:szCs w:val="20"/>
                <w:color w:val="auto"/>
              </w:rPr>
            </w:pPr>
            <w:r>
              <w:rPr>
                <w:rFonts w:ascii="Arial" w:cs="Arial" w:eastAsia="Arial" w:hAnsi="Arial"/>
                <w:sz w:val="16"/>
                <w:szCs w:val="16"/>
                <w:color w:val="auto"/>
              </w:rPr>
              <w:t>Add back: Change in fair value of contingent</w:t>
            </w:r>
          </w:p>
        </w:tc>
        <w:tc>
          <w:tcPr>
            <w:tcW w:w="42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consideration</w:t>
            </w: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line="177" w:lineRule="exact"/>
              <w:rPr>
                <w:sz w:val="20"/>
                <w:szCs w:val="20"/>
                <w:color w:val="auto"/>
              </w:rPr>
            </w:pPr>
            <w:r>
              <w:rPr>
                <w:rFonts w:ascii="Arial" w:cs="Arial" w:eastAsia="Arial" w:hAnsi="Arial"/>
                <w:sz w:val="16"/>
                <w:szCs w:val="16"/>
                <w:color w:val="auto"/>
              </w:rPr>
              <w:t>Add back: Net (gain) loss on the tax receivable</w:t>
            </w:r>
          </w:p>
        </w:tc>
        <w:tc>
          <w:tcPr>
            <w:tcW w:w="42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agreements</w:t>
            </w: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line="177" w:lineRule="exact"/>
              <w:rPr>
                <w:sz w:val="20"/>
                <w:szCs w:val="20"/>
                <w:color w:val="auto"/>
              </w:rPr>
            </w:pPr>
            <w:r>
              <w:rPr>
                <w:rFonts w:ascii="Arial" w:cs="Arial" w:eastAsia="Arial" w:hAnsi="Arial"/>
                <w:sz w:val="16"/>
                <w:szCs w:val="16"/>
                <w:color w:val="auto"/>
              </w:rPr>
              <w:t>Add back: Net investment (gain) loss of investment</w:t>
            </w:r>
          </w:p>
        </w:tc>
        <w:tc>
          <w:tcPr>
            <w:tcW w:w="420" w:type="dxa"/>
            <w:vAlign w:val="bottom"/>
          </w:tcPr>
          <w:p>
            <w:pPr>
              <w:spacing w:after="0"/>
              <w:rPr>
                <w:sz w:val="15"/>
                <w:szCs w:val="15"/>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5"/>
        </w:trPr>
        <w:tc>
          <w:tcPr>
            <w:tcW w:w="4100" w:type="dxa"/>
            <w:vAlign w:val="bottom"/>
          </w:tcPr>
          <w:p>
            <w:pPr>
              <w:ind w:left="160"/>
              <w:spacing w:after="0"/>
              <w:rPr>
                <w:sz w:val="20"/>
                <w:szCs w:val="20"/>
                <w:color w:val="auto"/>
              </w:rPr>
            </w:pPr>
            <w:r>
              <w:rPr>
                <w:rFonts w:ascii="Arial" w:cs="Arial" w:eastAsia="Arial" w:hAnsi="Arial"/>
                <w:sz w:val="16"/>
                <w:szCs w:val="16"/>
                <w:color w:val="auto"/>
              </w:rPr>
              <w:t>products attributable to APAM</w:t>
            </w: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6"/>
                <w:szCs w:val="16"/>
                <w:color w:val="auto"/>
              </w:rPr>
              <w:t>Add back: Interest expense</w:t>
            </w: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6"/>
                <w:szCs w:val="16"/>
                <w:color w:val="auto"/>
              </w:rPr>
              <w:t>Add back: Provision for income taxes</w:t>
            </w: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6"/>
                <w:szCs w:val="16"/>
                <w:color w:val="auto"/>
              </w:rPr>
              <w:t>Add back: Depreciation and amortization</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6"/>
                <w:szCs w:val="16"/>
                <w:color w:val="auto"/>
              </w:rPr>
              <w:t>Adjusted EBITDA (Non-GAAP)</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320.6</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5" w:right="339" w:bottom="1440" w:gutter="0" w:footer="0" w:header="0"/>
          <w:type w:val="continuous"/>
        </w:sect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4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Supplemental Non-GAAP Financial Information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uses non-GAAP measures (referred to as “adjusted” measures) of net income to evaluate the profitability and efficiency of the underlying operations of the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These adjusted measures also remove the non-operational complexities of the Company's structure by adding back noncontrolling interests and assuming all income of Artisan Partners Holdings is allocated to APAM. Management believes these non-GAAP measures provide meaningful information to analyze the Company's profitability and efficiency between periods and over time. The Company has included these non-GAAP measures to provide investors with the same financial metrics used by management to manage the Company.</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Non-GAAP measures should be considered in addition to, and not as a substitute for, financial measures prepared in accordance with GAAP. The Company's non-GAAP measures may differ from similar measures used by other companies, even if similar terms are used to identify such measures. The Company's non-GAAP measures are as follows:</w:t>
      </w:r>
    </w:p>
    <w:p>
      <w:pPr>
        <w:spacing w:after="0" w:line="117" w:lineRule="exact"/>
        <w:rPr>
          <w:sz w:val="20"/>
          <w:szCs w:val="20"/>
          <w:color w:val="auto"/>
        </w:rPr>
      </w:pPr>
    </w:p>
    <w:p>
      <w:pPr>
        <w:ind w:left="660" w:right="80" w:hanging="328"/>
        <w:spacing w:after="0" w:line="255"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represents net income excluding the impact of (1) net gain (loss) on the tax receivable agreements (if any), (2)</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spacing w:after="0" w:line="126" w:lineRule="exact"/>
        <w:rPr>
          <w:rFonts w:ascii="Arial" w:cs="Arial" w:eastAsia="Arial" w:hAnsi="Arial"/>
          <w:sz w:val="18"/>
          <w:szCs w:val="18"/>
          <w:color w:val="auto"/>
        </w:rPr>
      </w:pPr>
    </w:p>
    <w:p>
      <w:pPr>
        <w:jc w:val="both"/>
        <w:ind w:left="660" w:right="22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net income per adjusted share </w:t>
      </w:r>
      <w:r>
        <w:rPr>
          <w:rFonts w:ascii="Arial" w:cs="Arial" w:eastAsia="Arial" w:hAnsi="Arial"/>
          <w:sz w:val="18"/>
          <w:szCs w:val="18"/>
          <w:color w:val="auto"/>
        </w:rPr>
        <w:t>is calculated by dividing adjusted net income by adjusted shares. The number of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 derived by assuming the vesting of all unvested Class A share-based awards and the exchange of all outstanding limited partnership units of Artisan Partners Holdings for Class A common stock of APAM on a one-for-one basis.</w:t>
      </w:r>
    </w:p>
    <w:p>
      <w:pPr>
        <w:spacing w:after="0" w:line="116" w:lineRule="exact"/>
        <w:rPr>
          <w:rFonts w:ascii="Arial" w:cs="Arial" w:eastAsia="Arial" w:hAnsi="Arial"/>
          <w:sz w:val="18"/>
          <w:szCs w:val="18"/>
          <w:color w:val="auto"/>
        </w:rPr>
      </w:pPr>
    </w:p>
    <w:p>
      <w:pPr>
        <w:ind w:left="660" w:right="16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operating income </w:t>
      </w:r>
      <w:r>
        <w:rPr>
          <w:rFonts w:ascii="Arial" w:cs="Arial" w:eastAsia="Arial" w:hAnsi="Arial"/>
          <w:sz w:val="18"/>
          <w:szCs w:val="18"/>
          <w:color w:val="auto"/>
        </w:rPr>
        <w:t>represents the operating income of the consolidated company excluding compensation expense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market valuation changes in compensation plans and non-recurring expenses.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operating margin </w:t>
      </w:r>
      <w:r>
        <w:rPr>
          <w:rFonts w:ascii="Arial" w:cs="Arial" w:eastAsia="Arial" w:hAnsi="Arial"/>
          <w:sz w:val="18"/>
          <w:szCs w:val="18"/>
          <w:color w:val="auto"/>
        </w:rPr>
        <w:t>is calculated by dividing adjusted operating income by total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represents adjusted net income before interest expense, income taxes, depreciation and amortization expense.</w:t>
      </w:r>
    </w:p>
    <w:p>
      <w:pPr>
        <w:spacing w:after="0" w:line="171" w:lineRule="exact"/>
        <w:rPr>
          <w:sz w:val="20"/>
          <w:szCs w:val="20"/>
          <w:color w:val="auto"/>
        </w:rPr>
      </w:pPr>
    </w:p>
    <w:p>
      <w:pPr>
        <w:jc w:val="both"/>
        <w:ind w:right="600"/>
        <w:spacing w:after="0" w:line="287" w:lineRule="auto"/>
        <w:rPr>
          <w:sz w:val="20"/>
          <w:szCs w:val="20"/>
          <w:color w:val="auto"/>
        </w:rPr>
      </w:pPr>
      <w:r>
        <w:rPr>
          <w:rFonts w:ascii="Arial" w:cs="Arial" w:eastAsia="Arial" w:hAnsi="Arial"/>
          <w:sz w:val="18"/>
          <w:szCs w:val="18"/>
          <w:i w:val="1"/>
          <w:iCs w:val="1"/>
          <w:color w:val="auto"/>
        </w:rPr>
        <w:t xml:space="preserve">Net gain (loss) on the tax receivable agreements </w:t>
      </w:r>
      <w:r>
        <w:rPr>
          <w:rFonts w:ascii="Arial" w:cs="Arial" w:eastAsia="Arial" w:hAnsi="Arial"/>
          <w:sz w:val="18"/>
          <w:szCs w:val="18"/>
          <w:color w:val="auto"/>
        </w:rPr>
        <w:t>represents the income (expense) associated with the change in estimate of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under the tax receivable agreements entered into in connection with APAM’s initial public offering and related reorganization.</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Compensation expense (reversal) related to market valuation changes in compensation plans </w:t>
      </w:r>
      <w:r>
        <w:rPr>
          <w:rFonts w:ascii="Arial" w:cs="Arial" w:eastAsia="Arial" w:hAnsi="Arial"/>
          <w:sz w:val="18"/>
          <w:szCs w:val="18"/>
          <w:color w:val="auto"/>
        </w:rPr>
        <w:t>represents the expense (income)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change in the long-term incentive award liability resulting from investment returns of the underlying investment products. Because the compensation expense impact of the investment market exposure is economically hedged, management believes it is useful to reflect the expected net income offset in the calculation of adjusted operating income, adjusted net income, and adjusted EBITDA. The related investment gain (loss) on the underlying investments is included in the adjustment for net investment gain (loss) of investment products.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Net investment gain (loss) of investment products </w:t>
      </w:r>
      <w:r>
        <w:rPr>
          <w:rFonts w:ascii="Arial" w:cs="Arial" w:eastAsia="Arial" w:hAnsi="Arial"/>
          <w:sz w:val="18"/>
          <w:szCs w:val="18"/>
          <w:color w:val="auto"/>
        </w:rPr>
        <w:t>represents the non-operating income (expense) related to the Company’s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both consolidated sponsored investment products and nonconsolidated sponsored investment products, including investments in sponsored investment products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spacing w:after="0" w:line="1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i w:val="1"/>
          <w:iCs w:val="1"/>
          <w:color w:val="auto"/>
        </w:rPr>
        <w:t xml:space="preserve">Change in fair value of contingent consideration </w:t>
      </w:r>
      <w:r>
        <w:rPr>
          <w:rFonts w:ascii="Arial" w:cs="Arial" w:eastAsia="Arial" w:hAnsi="Arial"/>
          <w:sz w:val="18"/>
          <w:szCs w:val="18"/>
          <w:color w:val="auto"/>
        </w:rPr>
        <w:t>represents the income (expense) associated with the change in fair value of acquisition-related contingent consideration.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Non-recurring expenses (if any) </w:t>
      </w:r>
      <w:r>
        <w:rPr>
          <w:rFonts w:ascii="Arial" w:cs="Arial" w:eastAsia="Arial" w:hAnsi="Arial"/>
          <w:sz w:val="18"/>
          <w:szCs w:val="18"/>
          <w:color w:val="auto"/>
        </w:rPr>
        <w:t>represents non-recurring professional fees that are not reflective of core operations.</w:t>
      </w:r>
    </w:p>
    <w:p>
      <w:pPr>
        <w:spacing w:after="0" w:line="1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Adjustments to income tax expense as a result of the enactment of tax laws (if any) relates to the remeasurement of deferred tax assets upon enactment.</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12"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6"/>
          <w:szCs w:val="16"/>
          <w:color w:val="auto"/>
        </w:rPr>
        <w:t>Exhibit 3</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Artisan Partners Asset Management Inc.</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Condensed Consolidated Statements of Financial Condition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color w:val="auto"/>
              </w:rPr>
              <w:t>As of</w:t>
            </w:r>
          </w:p>
        </w:tc>
        <w:tc>
          <w:tcPr>
            <w:tcW w:w="0" w:type="dxa"/>
            <w:vAlign w:val="bottom"/>
          </w:tcPr>
          <w:p>
            <w:pPr>
              <w:spacing w:after="0"/>
              <w:rPr>
                <w:sz w:val="1"/>
                <w:szCs w:val="1"/>
                <w:color w:val="auto"/>
              </w:rPr>
            </w:pPr>
          </w:p>
        </w:tc>
      </w:tr>
      <w:tr>
        <w:trPr>
          <w:trHeight w:val="222"/>
        </w:trPr>
        <w:tc>
          <w:tcPr>
            <w:tcW w:w="858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352.4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Investment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94"/>
        </w:trPr>
        <w:tc>
          <w:tcPr>
            <w:tcW w:w="8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Assets of consolidated investment products</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462.0</w:t>
            </w:r>
          </w:p>
        </w:tc>
        <w:tc>
          <w:tcPr>
            <w:tcW w:w="0" w:type="dxa"/>
            <w:vAlign w:val="bottom"/>
          </w:tcPr>
          <w:p>
            <w:pPr>
              <w:spacing w:after="0"/>
              <w:rPr>
                <w:sz w:val="1"/>
                <w:szCs w:val="1"/>
                <w:color w:val="auto"/>
              </w:rPr>
            </w:pPr>
          </w:p>
        </w:tc>
      </w:tr>
      <w:tr>
        <w:trPr>
          <w:trHeight w:val="95"/>
        </w:trPr>
        <w:tc>
          <w:tcPr>
            <w:tcW w:w="8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1,577.3</w:t>
            </w:r>
          </w:p>
        </w:tc>
        <w:tc>
          <w:tcPr>
            <w:tcW w:w="0" w:type="dxa"/>
            <w:vAlign w:val="bottom"/>
          </w:tcPr>
          <w:p>
            <w:pPr>
              <w:spacing w:after="0"/>
              <w:rPr>
                <w:sz w:val="1"/>
                <w:szCs w:val="1"/>
                <w:color w:val="auto"/>
              </w:rPr>
            </w:pPr>
          </w:p>
        </w:tc>
      </w:tr>
      <w:tr>
        <w:trPr>
          <w:trHeight w:val="21"/>
        </w:trPr>
        <w:tc>
          <w:tcPr>
            <w:tcW w:w="858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8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Accounts payable, accrued expenses and other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Accrued short-term incentive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6"/>
                <w:szCs w:val="16"/>
                <w:color w:val="auto"/>
              </w:rPr>
              <w:t>Accrued long-term incentive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Amounts payable under tax receivable agreements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6"/>
                <w:szCs w:val="16"/>
                <w:color w:val="auto"/>
              </w:rPr>
              <w:t>Liabilities of consolidated investment products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794.9</w:t>
            </w: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Total liabilities, redeemable noncontrolling interests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color w:val="auto"/>
        </w:rPr>
        <w:t>Exhibit 4</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Artisan Partners Asset Management Inc.</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Assets Under Management by Investment Team and Vehicle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80" w:type="dxa"/>
            <w:vAlign w:val="bottom"/>
            <w:gridSpan w:val="2"/>
          </w:tcPr>
          <w:p>
            <w:pPr>
              <w:ind w:left="20"/>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By Investment Team</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Global</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U.S.</w:t>
            </w:r>
          </w:p>
        </w:tc>
        <w:tc>
          <w:tcPr>
            <w:tcW w:w="8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International</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Global</w:t>
            </w: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Sustainable</w:t>
            </w:r>
          </w:p>
        </w:tc>
        <w:tc>
          <w:tcPr>
            <w:tcW w:w="6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color w:val="auto"/>
                <w:w w:val="99"/>
              </w:rPr>
              <w:t>Developing</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rPr>
              <w:t>Antero</w:t>
            </w:r>
          </w:p>
        </w:tc>
        <w:tc>
          <w:tcPr>
            <w:tcW w:w="8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International</w:t>
            </w:r>
          </w:p>
        </w:tc>
        <w:tc>
          <w:tcPr>
            <w:tcW w:w="14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rPr>
              <w:t>EMsights Grandview</w:t>
            </w: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Growth</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80" w:type="dxa"/>
            <w:vAlign w:val="bottom"/>
            <w:gridSpan w:val="2"/>
          </w:tcPr>
          <w:p>
            <w:pPr>
              <w:jc w:val="right"/>
              <w:ind w:right="8"/>
              <w:spacing w:after="0" w:line="145" w:lineRule="exact"/>
              <w:rPr>
                <w:sz w:val="20"/>
                <w:szCs w:val="20"/>
                <w:color w:val="auto"/>
              </w:rPr>
            </w:pPr>
            <w:r>
              <w:rPr>
                <w:rFonts w:ascii="Arial" w:cs="Arial" w:eastAsia="Arial" w:hAnsi="Arial"/>
                <w:sz w:val="14"/>
                <w:szCs w:val="14"/>
                <w:color w:val="auto"/>
              </w:rPr>
              <w:t>Emerging</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Credit</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Peak</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2"/>
                <w:szCs w:val="12"/>
                <w:color w:val="auto"/>
              </w:rPr>
            </w:pP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w w:val="98"/>
              </w:rPr>
              <w:t>Property</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Value</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Value Group</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Markets</w:t>
            </w: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World</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Group</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Small-Mid</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Group</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Partners</w:t>
            </w: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80" w:type="dxa"/>
            <w:vAlign w:val="bottom"/>
            <w:gridSpan w:val="2"/>
          </w:tcPr>
          <w:p>
            <w:pPr>
              <w:ind w:left="20"/>
              <w:spacing w:after="0"/>
              <w:rPr>
                <w:sz w:val="20"/>
                <w:szCs w:val="20"/>
                <w:color w:val="auto"/>
              </w:rPr>
            </w:pPr>
            <w:r>
              <w:rPr>
                <w:rFonts w:ascii="Arial" w:cs="Arial" w:eastAsia="Arial" w:hAnsi="Arial"/>
                <w:sz w:val="14"/>
                <w:szCs w:val="14"/>
                <w:color w:val="auto"/>
              </w:rPr>
              <w:t>September 30, 2026</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$ 29,778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$ 16,885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1,779</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58,368</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$ 40,035</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3,508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$ 16,510</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3,292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2,816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4,309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5,272</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$ 183,389</w:t>
            </w:r>
          </w:p>
        </w:tc>
        <w:tc>
          <w:tcPr>
            <w:tcW w:w="0" w:type="dxa"/>
            <w:vAlign w:val="bottom"/>
          </w:tcPr>
          <w:p>
            <w:pPr>
              <w:spacing w:after="0"/>
              <w:rPr>
                <w:sz w:val="1"/>
                <w:szCs w:val="1"/>
                <w:color w:val="auto"/>
              </w:rPr>
            </w:pPr>
          </w:p>
        </w:tc>
      </w:tr>
      <w:tr>
        <w:trPr>
          <w:trHeight w:val="190"/>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management</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923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3"/>
                <w:szCs w:val="13"/>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2,157</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659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936</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7,886</w:t>
            </w:r>
          </w:p>
        </w:tc>
        <w:tc>
          <w:tcPr>
            <w:tcW w:w="0" w:type="dxa"/>
            <w:vAlign w:val="bottom"/>
          </w:tcPr>
          <w:p>
            <w:pPr>
              <w:spacing w:after="0"/>
              <w:rPr>
                <w:sz w:val="1"/>
                <w:szCs w:val="1"/>
                <w:color w:val="auto"/>
              </w:rPr>
            </w:pPr>
          </w:p>
        </w:tc>
      </w:tr>
      <w:tr>
        <w:trPr>
          <w:trHeight w:val="190"/>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inflows</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(2,999)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(1,871)</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(2,571)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(7,310)</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(729)</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(18,444)</w:t>
            </w:r>
          </w:p>
        </w:tc>
        <w:tc>
          <w:tcPr>
            <w:tcW w:w="0" w:type="dxa"/>
            <w:vAlign w:val="bottom"/>
          </w:tcPr>
          <w:p>
            <w:pPr>
              <w:spacing w:after="0"/>
              <w:rPr>
                <w:sz w:val="1"/>
                <w:szCs w:val="1"/>
                <w:color w:val="auto"/>
              </w:rPr>
            </w:pPr>
          </w:p>
        </w:tc>
      </w:tr>
      <w:tr>
        <w:trPr>
          <w:trHeight w:val="185"/>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outflows</w:t>
            </w: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660" w:type="dxa"/>
            <w:vAlign w:val="bottom"/>
          </w:tcPr>
          <w:p>
            <w:pPr>
              <w:jc w:val="right"/>
              <w:spacing w:after="0"/>
              <w:rPr>
                <w:sz w:val="20"/>
                <w:szCs w:val="20"/>
                <w:color w:val="auto"/>
              </w:rPr>
            </w:pPr>
            <w:r>
              <w:rPr>
                <w:rFonts w:ascii="Arial" w:cs="Arial" w:eastAsia="Arial" w:hAnsi="Arial"/>
                <w:sz w:val="14"/>
                <w:szCs w:val="14"/>
                <w:color w:val="auto"/>
              </w:rPr>
              <w:t>(2,076)</w:t>
            </w:r>
          </w:p>
        </w:tc>
        <w:tc>
          <w:tcPr>
            <w:tcW w:w="6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(1,861)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(414)</w:t>
            </w:r>
          </w:p>
        </w:tc>
        <w:tc>
          <w:tcPr>
            <w:tcW w:w="660" w:type="dxa"/>
            <w:vAlign w:val="bottom"/>
          </w:tcPr>
          <w:p>
            <w:pPr>
              <w:jc w:val="right"/>
              <w:spacing w:after="0"/>
              <w:rPr>
                <w:sz w:val="20"/>
                <w:szCs w:val="20"/>
                <w:color w:val="auto"/>
              </w:rPr>
            </w:pPr>
            <w:r>
              <w:rPr>
                <w:rFonts w:ascii="Arial" w:cs="Arial" w:eastAsia="Arial" w:hAnsi="Arial"/>
                <w:sz w:val="14"/>
                <w:szCs w:val="14"/>
                <w:color w:val="auto"/>
              </w:rPr>
              <w:t>(6,401)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358</w:t>
            </w:r>
          </w:p>
        </w:tc>
        <w:tc>
          <w:tcPr>
            <w:tcW w:w="660" w:type="dxa"/>
            <w:vAlign w:val="bottom"/>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700" w:type="dxa"/>
            <w:vAlign w:val="bottom"/>
          </w:tcPr>
          <w:p>
            <w:pPr>
              <w:jc w:val="right"/>
              <w:spacing w:after="0"/>
              <w:rPr>
                <w:sz w:val="20"/>
                <w:szCs w:val="20"/>
                <w:color w:val="auto"/>
              </w:rPr>
            </w:pPr>
            <w:r>
              <w:rPr>
                <w:rFonts w:ascii="Arial" w:cs="Arial" w:eastAsia="Arial" w:hAnsi="Arial"/>
                <w:sz w:val="14"/>
                <w:szCs w:val="14"/>
                <w:color w:val="auto"/>
              </w:rPr>
              <w:t>(10,558)</w:t>
            </w:r>
          </w:p>
        </w:tc>
        <w:tc>
          <w:tcPr>
            <w:tcW w:w="0" w:type="dxa"/>
            <w:vAlign w:val="bottom"/>
          </w:tcPr>
          <w:p>
            <w:pPr>
              <w:spacing w:after="0"/>
              <w:rPr>
                <w:sz w:val="1"/>
                <w:szCs w:val="1"/>
                <w:color w:val="auto"/>
              </w:rPr>
            </w:pPr>
          </w:p>
        </w:tc>
      </w:tr>
      <w:tr>
        <w:trPr>
          <w:trHeight w:val="242"/>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Realizations</w:t>
            </w:r>
            <w:r>
              <w:rPr>
                <w:rFonts w:ascii="Arial" w:cs="Arial" w:eastAsia="Arial" w:hAnsi="Arial"/>
                <w:sz w:val="18"/>
                <w:szCs w:val="18"/>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w:t>
            </w: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6"/>
        </w:trPr>
        <w:tc>
          <w:tcPr>
            <w:tcW w:w="198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Artisan Funds' distributions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18"/>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not reinvested</w:t>
            </w:r>
            <w:r>
              <w:rPr>
                <w:rFonts w:ascii="Arial" w:cs="Arial" w:eastAsia="Arial" w:hAnsi="Arial"/>
                <w:sz w:val="18"/>
                <w:szCs w:val="18"/>
                <w:color w:val="auto"/>
                <w:vertAlign w:val="superscript"/>
              </w:rPr>
              <w:t>2</w:t>
            </w:r>
          </w:p>
        </w:tc>
        <w:tc>
          <w:tcPr>
            <w:tcW w:w="6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Investment returns and</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(1,407)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(1,479)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85"/>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Ending assets under</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$ 26,295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$ 16,151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56,398</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$ 33,225</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3,857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$ 16,377</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3,107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2,639</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3,639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6,274</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782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$ 168,744</w:t>
            </w:r>
          </w:p>
        </w:tc>
        <w:tc>
          <w:tcPr>
            <w:tcW w:w="0" w:type="dxa"/>
            <w:vAlign w:val="bottom"/>
          </w:tcPr>
          <w:p>
            <w:pPr>
              <w:spacing w:after="0"/>
              <w:rPr>
                <w:sz w:val="1"/>
                <w:szCs w:val="1"/>
                <w:color w:val="auto"/>
              </w:rPr>
            </w:pPr>
          </w:p>
        </w:tc>
      </w:tr>
      <w:tr>
        <w:trPr>
          <w:trHeight w:val="163"/>
        </w:trPr>
        <w:tc>
          <w:tcPr>
            <w:tcW w:w="19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ind w:left="140"/>
              <w:spacing w:after="0"/>
              <w:rPr>
                <w:sz w:val="20"/>
                <w:szCs w:val="20"/>
                <w:color w:val="auto"/>
              </w:rPr>
            </w:pPr>
            <w:r>
              <w:rPr>
                <w:rFonts w:ascii="Arial" w:cs="Arial" w:eastAsia="Arial" w:hAnsi="Arial"/>
                <w:sz w:val="14"/>
                <w:szCs w:val="14"/>
                <w:color w:val="auto"/>
              </w:rPr>
              <w:t>Average assets under</w:t>
            </w: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9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$ 27,983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$ 16,774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1,176</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58,835</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$ 39,208</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3,669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$ 16,648</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3,294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2,765</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4,002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5,759</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796</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$ 180,518</w:t>
            </w:r>
          </w:p>
        </w:tc>
        <w:tc>
          <w:tcPr>
            <w:tcW w:w="0" w:type="dxa"/>
            <w:vAlign w:val="bottom"/>
          </w:tcPr>
          <w:p>
            <w:pPr>
              <w:spacing w:after="0"/>
              <w:rPr>
                <w:sz w:val="1"/>
                <w:szCs w:val="1"/>
                <w:color w:val="auto"/>
              </w:rPr>
            </w:pPr>
          </w:p>
        </w:tc>
      </w:tr>
      <w:tr>
        <w:trPr>
          <w:trHeight w:val="179"/>
        </w:trPr>
        <w:tc>
          <w:tcPr>
            <w:tcW w:w="1980" w:type="dxa"/>
            <w:vAlign w:val="bottom"/>
            <w:gridSpan w:val="2"/>
          </w:tcPr>
          <w:p>
            <w:pPr>
              <w:ind w:left="140"/>
              <w:spacing w:after="0" w:line="174" w:lineRule="exact"/>
              <w:rPr>
                <w:sz w:val="20"/>
                <w:szCs w:val="20"/>
                <w:color w:val="auto"/>
              </w:rPr>
            </w:pPr>
            <w:r>
              <w:rPr>
                <w:rFonts w:ascii="Arial" w:cs="Arial" w:eastAsia="Arial" w:hAnsi="Arial"/>
                <w:sz w:val="14"/>
                <w:szCs w:val="14"/>
                <w:color w:val="auto"/>
              </w:rPr>
              <w:t>management</w:t>
            </w:r>
            <w:r>
              <w:rPr>
                <w:rFonts w:ascii="Arial" w:cs="Arial" w:eastAsia="Arial" w:hAnsi="Arial"/>
                <w:sz w:val="18"/>
                <w:szCs w:val="18"/>
                <w:color w:val="auto"/>
                <w:vertAlign w:val="superscript"/>
              </w:rPr>
              <w:t>3</w:t>
            </w:r>
          </w:p>
        </w:tc>
        <w:tc>
          <w:tcPr>
            <w:tcW w:w="6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8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30, 2026</w:t>
            </w: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8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$ 28,283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$ 15,849</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7,506</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51,743</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$ 35,804</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2,781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$ 15,530</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3,145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2,346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4,332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4,763</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899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$ 172,981</w:t>
            </w:r>
          </w:p>
        </w:tc>
        <w:tc>
          <w:tcPr>
            <w:tcW w:w="0" w:type="dxa"/>
            <w:vAlign w:val="bottom"/>
          </w:tcPr>
          <w:p>
            <w:pPr>
              <w:spacing w:after="0"/>
              <w:rPr>
                <w:sz w:val="1"/>
                <w:szCs w:val="1"/>
                <w:color w:val="auto"/>
              </w:rPr>
            </w:pPr>
          </w:p>
        </w:tc>
      </w:tr>
      <w:tr>
        <w:trPr>
          <w:trHeight w:val="190"/>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management</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1,844</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3"/>
                <w:szCs w:val="13"/>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2,580</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1,279</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3"/>
                <w:szCs w:val="1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8,797</w:t>
            </w:r>
          </w:p>
        </w:tc>
        <w:tc>
          <w:tcPr>
            <w:tcW w:w="0" w:type="dxa"/>
            <w:vAlign w:val="bottom"/>
          </w:tcPr>
          <w:p>
            <w:pPr>
              <w:spacing w:after="0"/>
              <w:rPr>
                <w:sz w:val="1"/>
                <w:szCs w:val="1"/>
                <w:color w:val="auto"/>
              </w:rPr>
            </w:pPr>
          </w:p>
        </w:tc>
      </w:tr>
      <w:tr>
        <w:trPr>
          <w:trHeight w:val="190"/>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inflows</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(4,630)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(6,483)</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(3,193)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(19,296)</w:t>
            </w:r>
          </w:p>
        </w:tc>
        <w:tc>
          <w:tcPr>
            <w:tcW w:w="0" w:type="dxa"/>
            <w:vAlign w:val="bottom"/>
          </w:tcPr>
          <w:p>
            <w:pPr>
              <w:spacing w:after="0"/>
              <w:rPr>
                <w:sz w:val="1"/>
                <w:szCs w:val="1"/>
                <w:color w:val="auto"/>
              </w:rPr>
            </w:pPr>
          </w:p>
        </w:tc>
      </w:tr>
      <w:tr>
        <w:trPr>
          <w:trHeight w:val="185"/>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outflows</w:t>
            </w: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660" w:type="dxa"/>
            <w:vAlign w:val="bottom"/>
          </w:tcPr>
          <w:p>
            <w:pPr>
              <w:jc w:val="right"/>
              <w:spacing w:after="0"/>
              <w:rPr>
                <w:sz w:val="20"/>
                <w:szCs w:val="20"/>
                <w:color w:val="auto"/>
              </w:rPr>
            </w:pPr>
            <w:r>
              <w:rPr>
                <w:rFonts w:ascii="Arial" w:cs="Arial" w:eastAsia="Arial" w:hAnsi="Arial"/>
                <w:sz w:val="14"/>
                <w:szCs w:val="14"/>
                <w:color w:val="auto"/>
              </w:rPr>
              <w:t>(2,786)</w:t>
            </w:r>
          </w:p>
        </w:tc>
        <w:tc>
          <w:tcPr>
            <w:tcW w:w="66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(6,357)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(613)</w:t>
            </w:r>
          </w:p>
        </w:tc>
        <w:tc>
          <w:tcPr>
            <w:tcW w:w="66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236</w:t>
            </w:r>
          </w:p>
        </w:tc>
        <w:tc>
          <w:tcPr>
            <w:tcW w:w="660" w:type="dxa"/>
            <w:vAlign w:val="bottom"/>
          </w:tcPr>
          <w:p>
            <w:pPr>
              <w:jc w:val="right"/>
              <w:spacing w:after="0"/>
              <w:rPr>
                <w:sz w:val="20"/>
                <w:szCs w:val="20"/>
                <w:color w:val="auto"/>
              </w:rPr>
            </w:pPr>
            <w:r>
              <w:rPr>
                <w:rFonts w:ascii="Arial" w:cs="Arial" w:eastAsia="Arial" w:hAnsi="Arial"/>
                <w:sz w:val="14"/>
                <w:szCs w:val="14"/>
                <w:color w:val="auto"/>
              </w:rPr>
              <w:t>688</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(10,499)</w:t>
            </w:r>
          </w:p>
        </w:tc>
        <w:tc>
          <w:tcPr>
            <w:tcW w:w="0" w:type="dxa"/>
            <w:vAlign w:val="bottom"/>
          </w:tcPr>
          <w:p>
            <w:pPr>
              <w:spacing w:after="0"/>
              <w:rPr>
                <w:sz w:val="1"/>
                <w:szCs w:val="1"/>
                <w:color w:val="auto"/>
              </w:rPr>
            </w:pPr>
          </w:p>
        </w:tc>
      </w:tr>
      <w:tr>
        <w:trPr>
          <w:trHeight w:val="242"/>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Realizations</w:t>
            </w:r>
            <w:r>
              <w:rPr>
                <w:rFonts w:ascii="Arial" w:cs="Arial" w:eastAsia="Arial" w:hAnsi="Arial"/>
                <w:sz w:val="18"/>
                <w:szCs w:val="18"/>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w:t>
            </w: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6"/>
        </w:trPr>
        <w:tc>
          <w:tcPr>
            <w:tcW w:w="198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Artisan Funds' distributions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18"/>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not reinvested</w:t>
            </w:r>
            <w:r>
              <w:rPr>
                <w:rFonts w:ascii="Arial" w:cs="Arial" w:eastAsia="Arial" w:hAnsi="Arial"/>
                <w:sz w:val="18"/>
                <w:szCs w:val="18"/>
                <w:color w:val="auto"/>
                <w:vertAlign w:val="superscript"/>
              </w:rPr>
              <w:t>2</w:t>
            </w:r>
          </w:p>
        </w:tc>
        <w:tc>
          <w:tcPr>
            <w:tcW w:w="6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Investment returns and</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4,281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1,622</w:t>
            </w: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7,353</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4,820</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491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402</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21,196</w:t>
            </w:r>
          </w:p>
        </w:tc>
        <w:tc>
          <w:tcPr>
            <w:tcW w:w="0" w:type="dxa"/>
            <w:vAlign w:val="bottom"/>
          </w:tcPr>
          <w:p>
            <w:pPr>
              <w:spacing w:after="0"/>
              <w:rPr>
                <w:sz w:val="1"/>
                <w:szCs w:val="1"/>
                <w:color w:val="auto"/>
              </w:rPr>
            </w:pPr>
          </w:p>
        </w:tc>
      </w:tr>
      <w:tr>
        <w:trPr>
          <w:trHeight w:val="185"/>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Ending assets under</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$ 29,778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$ 16,885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1,779</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58,368</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$ 40,035</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3,508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$ 16,510</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3,292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2,816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4,309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5,272</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$ 183,389</w:t>
            </w:r>
          </w:p>
        </w:tc>
        <w:tc>
          <w:tcPr>
            <w:tcW w:w="0" w:type="dxa"/>
            <w:vAlign w:val="bottom"/>
          </w:tcPr>
          <w:p>
            <w:pPr>
              <w:spacing w:after="0"/>
              <w:rPr>
                <w:sz w:val="1"/>
                <w:szCs w:val="1"/>
                <w:color w:val="auto"/>
              </w:rPr>
            </w:pPr>
          </w:p>
        </w:tc>
      </w:tr>
      <w:tr>
        <w:trPr>
          <w:trHeight w:val="163"/>
        </w:trPr>
        <w:tc>
          <w:tcPr>
            <w:tcW w:w="19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980" w:type="dxa"/>
            <w:vAlign w:val="bottom"/>
            <w:gridSpan w:val="2"/>
            <w:vMerge w:val="restart"/>
          </w:tcPr>
          <w:p>
            <w:pPr>
              <w:ind w:left="140"/>
              <w:spacing w:after="0"/>
              <w:rPr>
                <w:sz w:val="20"/>
                <w:szCs w:val="20"/>
                <w:color w:val="auto"/>
              </w:rPr>
            </w:pPr>
            <w:r>
              <w:rPr>
                <w:rFonts w:ascii="Arial" w:cs="Arial" w:eastAsia="Arial" w:hAnsi="Arial"/>
                <w:sz w:val="14"/>
                <w:szCs w:val="14"/>
                <w:color w:val="auto"/>
              </w:rPr>
              <w:t>Average assets under</w:t>
            </w: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9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$ 28,535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$ 17,231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5,675</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56,112</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$ 38,820</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3,316</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$ 16,099</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3,303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2,627</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4,249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5,037</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870</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$ 181,874</w:t>
            </w:r>
          </w:p>
        </w:tc>
        <w:tc>
          <w:tcPr>
            <w:tcW w:w="0" w:type="dxa"/>
            <w:vAlign w:val="bottom"/>
          </w:tcPr>
          <w:p>
            <w:pPr>
              <w:spacing w:after="0"/>
              <w:rPr>
                <w:sz w:val="1"/>
                <w:szCs w:val="1"/>
                <w:color w:val="auto"/>
              </w:rPr>
            </w:pPr>
          </w:p>
        </w:tc>
      </w:tr>
      <w:tr>
        <w:trPr>
          <w:trHeight w:val="163"/>
        </w:trPr>
        <w:tc>
          <w:tcPr>
            <w:tcW w:w="19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30, 2025</w:t>
            </w: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8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$ 36,748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$ 15,161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7,765</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50,871</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$ 32,906</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2,047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$ 13,096</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4,784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2,540</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5,856</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3,771</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$ 175,545</w:t>
            </w:r>
          </w:p>
        </w:tc>
        <w:tc>
          <w:tcPr>
            <w:tcW w:w="0" w:type="dxa"/>
            <w:vAlign w:val="bottom"/>
          </w:tcPr>
          <w:p>
            <w:pPr>
              <w:spacing w:after="0"/>
              <w:rPr>
                <w:sz w:val="1"/>
                <w:szCs w:val="1"/>
                <w:color w:val="auto"/>
              </w:rPr>
            </w:pPr>
          </w:p>
        </w:tc>
      </w:tr>
      <w:tr>
        <w:trPr>
          <w:trHeight w:val="190"/>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management</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3"/>
                <w:szCs w:val="13"/>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1,410</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1,087</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3"/>
                <w:szCs w:val="1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190"/>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inflows</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(2,827)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(2,062)</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(8,413)</w:t>
            </w:r>
          </w:p>
        </w:tc>
        <w:tc>
          <w:tcPr>
            <w:tcW w:w="0" w:type="dxa"/>
            <w:vAlign w:val="bottom"/>
          </w:tcPr>
          <w:p>
            <w:pPr>
              <w:spacing w:after="0"/>
              <w:rPr>
                <w:sz w:val="1"/>
                <w:szCs w:val="1"/>
                <w:color w:val="auto"/>
              </w:rPr>
            </w:pPr>
          </w:p>
        </w:tc>
      </w:tr>
      <w:tr>
        <w:trPr>
          <w:trHeight w:val="185"/>
        </w:trPr>
        <w:tc>
          <w:tcPr>
            <w:tcW w:w="1980" w:type="dxa"/>
            <w:vAlign w:val="bottom"/>
            <w:gridSpan w:val="2"/>
          </w:tcPr>
          <w:p>
            <w:pPr>
              <w:ind w:left="480"/>
              <w:spacing w:after="0"/>
              <w:rPr>
                <w:sz w:val="20"/>
                <w:szCs w:val="20"/>
                <w:color w:val="auto"/>
              </w:rPr>
            </w:pPr>
            <w:r>
              <w:rPr>
                <w:rFonts w:ascii="Arial" w:cs="Arial" w:eastAsia="Arial" w:hAnsi="Arial"/>
                <w:sz w:val="14"/>
                <w:szCs w:val="14"/>
                <w:color w:val="auto"/>
              </w:rPr>
              <w:t>outflows</w:t>
            </w: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660" w:type="dxa"/>
            <w:vAlign w:val="bottom"/>
          </w:tcPr>
          <w:p>
            <w:pPr>
              <w:jc w:val="right"/>
              <w:spacing w:after="0"/>
              <w:rPr>
                <w:sz w:val="20"/>
                <w:szCs w:val="20"/>
                <w:color w:val="auto"/>
              </w:rPr>
            </w:pPr>
            <w:r>
              <w:rPr>
                <w:rFonts w:ascii="Arial" w:cs="Arial" w:eastAsia="Arial" w:hAnsi="Arial"/>
                <w:sz w:val="14"/>
                <w:szCs w:val="14"/>
                <w:color w:val="auto"/>
              </w:rPr>
              <w:t>(2,189)</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(652)</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660" w:type="dxa"/>
            <w:vAlign w:val="bottom"/>
          </w:tcPr>
          <w:p>
            <w:pPr>
              <w:jc w:val="right"/>
              <w:spacing w:after="0"/>
              <w:rPr>
                <w:sz w:val="20"/>
                <w:szCs w:val="20"/>
                <w:color w:val="auto"/>
              </w:rPr>
            </w:pPr>
            <w:r>
              <w:rPr>
                <w:rFonts w:ascii="Arial" w:cs="Arial" w:eastAsia="Arial" w:hAnsi="Arial"/>
                <w:sz w:val="14"/>
                <w:szCs w:val="14"/>
                <w:color w:val="auto"/>
              </w:rPr>
              <w:t>687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172"/>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Artisan Funds' distributions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18"/>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not reinvested</w:t>
            </w:r>
            <w:r>
              <w:rPr>
                <w:rFonts w:ascii="Arial" w:cs="Arial" w:eastAsia="Arial" w:hAnsi="Arial"/>
                <w:sz w:val="18"/>
                <w:szCs w:val="18"/>
                <w:color w:val="auto"/>
                <w:vertAlign w:val="superscript"/>
              </w:rPr>
              <w:t>2</w:t>
            </w:r>
          </w:p>
        </w:tc>
        <w:tc>
          <w:tcPr>
            <w:tcW w:w="6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Investment returns and</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2,191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2,498</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305</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8,251</w:t>
            </w:r>
          </w:p>
        </w:tc>
        <w:tc>
          <w:tcPr>
            <w:tcW w:w="0" w:type="dxa"/>
            <w:vAlign w:val="bottom"/>
          </w:tcPr>
          <w:p>
            <w:pPr>
              <w:spacing w:after="0"/>
              <w:rPr>
                <w:sz w:val="1"/>
                <w:szCs w:val="1"/>
                <w:color w:val="auto"/>
              </w:rPr>
            </w:pPr>
          </w:p>
        </w:tc>
      </w:tr>
      <w:tr>
        <w:trPr>
          <w:trHeight w:val="185"/>
        </w:trPr>
        <w:tc>
          <w:tcPr>
            <w:tcW w:w="19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Ending assets under</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$ 36,750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$ 15,915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7,812</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52,656</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$ 35,185</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2,355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$ 13,991</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4,962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2,541</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5,065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4,074</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$ 181,306</w:t>
            </w:r>
          </w:p>
        </w:tc>
        <w:tc>
          <w:tcPr>
            <w:tcW w:w="0" w:type="dxa"/>
            <w:vAlign w:val="bottom"/>
          </w:tcPr>
          <w:p>
            <w:pPr>
              <w:spacing w:after="0"/>
              <w:rPr>
                <w:sz w:val="1"/>
                <w:szCs w:val="1"/>
                <w:color w:val="auto"/>
              </w:rPr>
            </w:pPr>
          </w:p>
        </w:tc>
      </w:tr>
      <w:tr>
        <w:trPr>
          <w:trHeight w:val="163"/>
        </w:trPr>
        <w:tc>
          <w:tcPr>
            <w:tcW w:w="19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ind w:left="140"/>
              <w:spacing w:after="0"/>
              <w:rPr>
                <w:sz w:val="20"/>
                <w:szCs w:val="20"/>
                <w:color w:val="auto"/>
              </w:rPr>
            </w:pPr>
            <w:r>
              <w:rPr>
                <w:rFonts w:ascii="Arial" w:cs="Arial" w:eastAsia="Arial" w:hAnsi="Arial"/>
                <w:sz w:val="14"/>
                <w:szCs w:val="14"/>
                <w:color w:val="auto"/>
              </w:rPr>
              <w:t>Average assets under</w:t>
            </w: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9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$ 36,558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$ 15,363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7,756</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51,856</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$ 33,630</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2,145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$ 13,515</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4,824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2,508</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5,364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3,894</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$ 177,413</w:t>
            </w:r>
          </w:p>
        </w:tc>
        <w:tc>
          <w:tcPr>
            <w:tcW w:w="0" w:type="dxa"/>
            <w:vAlign w:val="bottom"/>
          </w:tcPr>
          <w:p>
            <w:pPr>
              <w:spacing w:after="0"/>
              <w:rPr>
                <w:sz w:val="1"/>
                <w:szCs w:val="1"/>
                <w:color w:val="auto"/>
              </w:rPr>
            </w:pPr>
          </w:p>
        </w:tc>
      </w:tr>
      <w:tr>
        <w:trPr>
          <w:trHeight w:val="163"/>
        </w:trPr>
        <w:tc>
          <w:tcPr>
            <w:tcW w:w="19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11" w:lineRule="exact"/>
        <w:rPr>
          <w:sz w:val="20"/>
          <w:szCs w:val="20"/>
          <w:color w:val="auto"/>
        </w:rPr>
      </w:pPr>
    </w:p>
    <w:p>
      <w:pPr>
        <w:ind w:left="100" w:hanging="92"/>
        <w:spacing w:after="0"/>
        <w:tabs>
          <w:tab w:leader="none" w:pos="10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the distribution of realized proceeds from the disposition of assets.</w:t>
      </w:r>
    </w:p>
    <w:p>
      <w:pPr>
        <w:ind w:left="100" w:hanging="92"/>
        <w:spacing w:after="0" w:line="187" w:lineRule="auto"/>
        <w:tabs>
          <w:tab w:leader="none" w:pos="10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the amount of income and capital gain distributions that were not reinvested in the Artisan Funds.</w:t>
      </w: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Average AUM for the U.S. Value team reflects the period through the completion of the team's wind-down on August 30, 2026.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color w:val="auto"/>
        </w:rPr>
        <w:t>Exhibit 4</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Artisan Partners Asset Management Inc.</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Assets Under Management by Investment Team and Vehicle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millions)</w:t>
      </w:r>
    </w:p>
    <w:p>
      <w:pPr>
        <w:spacing w:after="0" w:line="331" w:lineRule="exact"/>
        <w:rPr>
          <w:sz w:val="20"/>
          <w:szCs w:val="20"/>
          <w:color w:val="auto"/>
        </w:rPr>
      </w:pPr>
    </w:p>
    <w:tbl>
      <w:tblPr>
        <w:tblLayout w:type="fixed"/>
        <w:tblInd w:w="2100" w:type="dxa"/>
        <w:tblCellMar>
          <w:top w:w="0" w:type="dxa"/>
          <w:left w:w="0" w:type="dxa"/>
          <w:bottom w:w="0" w:type="dxa"/>
          <w:right w:w="0" w:type="dxa"/>
        </w:tblCellMar>
      </w:tblPr>
      <w:tr>
        <w:trPr>
          <w:trHeight w:val="194"/>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color w:val="auto"/>
              </w:rPr>
              <w:t>By Vehicle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Artisan Funds and</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rPr>
              <w:t>Separate Accounts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Artisan Global Funds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color w:val="auto"/>
              </w:rPr>
              <w:t xml:space="preserve">and Other </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September 30, 2026</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 management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93,447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89,942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183,389</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inflows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5,891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1,995</w:t>
            </w: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7,886</w:t>
            </w:r>
          </w:p>
        </w:tc>
        <w:tc>
          <w:tcPr>
            <w:tcW w:w="0" w:type="dxa"/>
            <w:vAlign w:val="bottom"/>
          </w:tcPr>
          <w:p>
            <w:pPr>
              <w:spacing w:after="0"/>
              <w:rPr>
                <w:sz w:val="1"/>
                <w:szCs w:val="1"/>
                <w:color w:val="auto"/>
              </w:rPr>
            </w:pPr>
          </w:p>
        </w:tc>
      </w:tr>
      <w:tr>
        <w:trPr>
          <w:trHeight w:val="220"/>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outflows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(11,486)</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(18,444)</w:t>
            </w:r>
          </w:p>
        </w:tc>
        <w:tc>
          <w:tcPr>
            <w:tcW w:w="0" w:type="dxa"/>
            <w:vAlign w:val="bottom"/>
          </w:tcPr>
          <w:p>
            <w:pPr>
              <w:spacing w:after="0"/>
              <w:rPr>
                <w:sz w:val="1"/>
                <w:szCs w:val="1"/>
                <w:color w:val="auto"/>
              </w:rPr>
            </w:pPr>
          </w:p>
        </w:tc>
      </w:tr>
      <w:tr>
        <w:trPr>
          <w:trHeight w:val="205"/>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(9,491)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(10,558)</w:t>
            </w:r>
          </w:p>
        </w:tc>
        <w:tc>
          <w:tcPr>
            <w:tcW w:w="0" w:type="dxa"/>
            <w:vAlign w:val="bottom"/>
          </w:tcPr>
          <w:p>
            <w:pPr>
              <w:spacing w:after="0"/>
              <w:rPr>
                <w:sz w:val="1"/>
                <w:szCs w:val="1"/>
                <w:color w:val="auto"/>
              </w:rPr>
            </w:pPr>
          </w:p>
        </w:tc>
      </w:tr>
      <w:tr>
        <w:trPr>
          <w:trHeight w:val="242"/>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Realizations</w:t>
            </w:r>
            <w:r>
              <w:rPr>
                <w:rFonts w:ascii="Arial" w:cs="Arial" w:eastAsia="Arial" w:hAnsi="Arial"/>
                <w:sz w:val="18"/>
                <w:szCs w:val="18"/>
                <w:color w:val="auto"/>
                <w:vertAlign w:val="superscript"/>
              </w:rPr>
              <w:t>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6"/>
        </w:trPr>
        <w:tc>
          <w:tcPr>
            <w:tcW w:w="268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Artisan Funds' distributions not</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18"/>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reinvested</w:t>
            </w:r>
            <w:r>
              <w:rPr>
                <w:rFonts w:ascii="Arial" w:cs="Arial" w:eastAsia="Arial" w:hAnsi="Arial"/>
                <w:sz w:val="18"/>
                <w:szCs w:val="18"/>
                <w:color w:val="auto"/>
                <w:vertAlign w:val="superscript"/>
              </w:rPr>
              <w:t>3</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Investment returns and other</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21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78,503</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168,744</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86,776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180,518</w:t>
            </w:r>
          </w:p>
        </w:tc>
        <w:tc>
          <w:tcPr>
            <w:tcW w:w="0" w:type="dxa"/>
            <w:vAlign w:val="bottom"/>
          </w:tcPr>
          <w:p>
            <w:pPr>
              <w:spacing w:after="0"/>
              <w:rPr>
                <w:sz w:val="1"/>
                <w:szCs w:val="1"/>
                <w:color w:val="auto"/>
              </w:rPr>
            </w:pPr>
          </w:p>
        </w:tc>
      </w:tr>
      <w:tr>
        <w:trPr>
          <w:trHeight w:val="21"/>
        </w:trPr>
        <w:tc>
          <w:tcPr>
            <w:tcW w:w="268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30, 2026</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 management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84,459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88,522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172,981</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inflows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5,831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2,966</w:t>
            </w: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8,797</w:t>
            </w:r>
          </w:p>
        </w:tc>
        <w:tc>
          <w:tcPr>
            <w:tcW w:w="0" w:type="dxa"/>
            <w:vAlign w:val="bottom"/>
          </w:tcPr>
          <w:p>
            <w:pPr>
              <w:spacing w:after="0"/>
              <w:rPr>
                <w:sz w:val="1"/>
                <w:szCs w:val="1"/>
                <w:color w:val="auto"/>
              </w:rPr>
            </w:pPr>
          </w:p>
        </w:tc>
      </w:tr>
      <w:tr>
        <w:trPr>
          <w:trHeight w:val="220"/>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outflows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(12,438)</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(19,296)</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(9,472)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(10,499)</w:t>
            </w:r>
          </w:p>
        </w:tc>
        <w:tc>
          <w:tcPr>
            <w:tcW w:w="0" w:type="dxa"/>
            <w:vAlign w:val="bottom"/>
          </w:tcPr>
          <w:p>
            <w:pPr>
              <w:spacing w:after="0"/>
              <w:rPr>
                <w:sz w:val="1"/>
                <w:szCs w:val="1"/>
                <w:color w:val="auto"/>
              </w:rPr>
            </w:pPr>
          </w:p>
        </w:tc>
      </w:tr>
      <w:tr>
        <w:trPr>
          <w:trHeight w:val="242"/>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Realizations</w:t>
            </w:r>
            <w:r>
              <w:rPr>
                <w:rFonts w:ascii="Arial" w:cs="Arial" w:eastAsia="Arial" w:hAnsi="Arial"/>
                <w:sz w:val="18"/>
                <w:szCs w:val="18"/>
                <w:color w:val="auto"/>
                <w:vertAlign w:val="superscript"/>
              </w:rPr>
              <w:t>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6"/>
        </w:trPr>
        <w:tc>
          <w:tcPr>
            <w:tcW w:w="268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Artisan Funds' distributions not</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18"/>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reinvested</w:t>
            </w:r>
            <w:r>
              <w:rPr>
                <w:rFonts w:ascii="Arial" w:cs="Arial" w:eastAsia="Arial" w:hAnsi="Arial"/>
                <w:sz w:val="18"/>
                <w:szCs w:val="18"/>
                <w:color w:val="auto"/>
                <w:vertAlign w:val="superscript"/>
              </w:rPr>
              <w:t>3</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Investment returns and other</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10,274</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10,922</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21,196</w:t>
            </w:r>
          </w:p>
        </w:tc>
        <w:tc>
          <w:tcPr>
            <w:tcW w:w="0" w:type="dxa"/>
            <w:vAlign w:val="bottom"/>
          </w:tcPr>
          <w:p>
            <w:pPr>
              <w:spacing w:after="0"/>
              <w:rPr>
                <w:sz w:val="1"/>
                <w:szCs w:val="1"/>
                <w:color w:val="auto"/>
              </w:rPr>
            </w:pPr>
          </w:p>
        </w:tc>
      </w:tr>
      <w:tr>
        <w:trPr>
          <w:trHeight w:val="224"/>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transfers</w:t>
            </w:r>
            <w:r>
              <w:rPr>
                <w:rFonts w:ascii="Arial" w:cs="Arial" w:eastAsia="Arial" w:hAnsi="Arial"/>
                <w:sz w:val="18"/>
                <w:szCs w:val="18"/>
                <w:color w:val="auto"/>
                <w:vertAlign w:val="superscript"/>
              </w:rPr>
              <w:t>4</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89,942</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183,389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90,469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91,405</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181,874</w:t>
            </w: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30, 2025</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 management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85,626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89,919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175,545</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inflows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4,538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1,546</w:t>
            </w: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220"/>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outflows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(5,682)</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(8,413)</w:t>
            </w:r>
          </w:p>
        </w:tc>
        <w:tc>
          <w:tcPr>
            <w:tcW w:w="0" w:type="dxa"/>
            <w:vAlign w:val="bottom"/>
          </w:tcPr>
          <w:p>
            <w:pPr>
              <w:spacing w:after="0"/>
              <w:rPr>
                <w:sz w:val="1"/>
                <w:szCs w:val="1"/>
                <w:color w:val="auto"/>
              </w:rPr>
            </w:pPr>
          </w:p>
        </w:tc>
      </w:tr>
      <w:tr>
        <w:trPr>
          <w:trHeight w:val="205"/>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(1,185)</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172"/>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Artisan Funds' distributions not</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18"/>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reinvested</w:t>
            </w:r>
            <w:r>
              <w:rPr>
                <w:rFonts w:ascii="Arial" w:cs="Arial" w:eastAsia="Arial" w:hAnsi="Arial"/>
                <w:sz w:val="18"/>
                <w:szCs w:val="18"/>
                <w:color w:val="auto"/>
                <w:vertAlign w:val="superscript"/>
              </w:rPr>
              <w:t>3</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Investment returns and other</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3,719</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4,532</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8,251</w:t>
            </w:r>
          </w:p>
        </w:tc>
        <w:tc>
          <w:tcPr>
            <w:tcW w:w="0" w:type="dxa"/>
            <w:vAlign w:val="bottom"/>
          </w:tcPr>
          <w:p>
            <w:pPr>
              <w:spacing w:after="0"/>
              <w:rPr>
                <w:sz w:val="1"/>
                <w:szCs w:val="1"/>
                <w:color w:val="auto"/>
              </w:rPr>
            </w:pPr>
          </w:p>
        </w:tc>
      </w:tr>
      <w:tr>
        <w:trPr>
          <w:trHeight w:val="21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93,266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181,306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86,644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90,769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177,413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-6350</wp:posOffset>
            </wp:positionV>
            <wp:extent cx="2785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-46355</wp:posOffset>
            </wp:positionV>
            <wp:extent cx="2785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5" w:lineRule="exact"/>
        <w:rPr>
          <w:sz w:val="20"/>
          <w:szCs w:val="20"/>
          <w:color w:val="auto"/>
        </w:rPr>
      </w:pPr>
    </w:p>
    <w:p>
      <w:pPr>
        <w:ind w:right="80" w:firstLine="8"/>
        <w:spacing w:after="0" w:line="255" w:lineRule="auto"/>
        <w:tabs>
          <w:tab w:leader="none" w:pos="78" w:val="left"/>
        </w:tabs>
        <w:numPr>
          <w:ilvl w:val="0"/>
          <w:numId w:val="8"/>
        </w:numPr>
        <w:rPr>
          <w:rFonts w:ascii="Arial" w:cs="Arial" w:eastAsia="Arial" w:hAnsi="Arial"/>
          <w:sz w:val="9"/>
          <w:szCs w:val="9"/>
          <w:color w:val="auto"/>
        </w:rPr>
      </w:pPr>
      <w:r>
        <w:rPr>
          <w:rFonts w:ascii="Arial" w:cs="Arial" w:eastAsia="Arial" w:hAnsi="Arial"/>
          <w:sz w:val="14"/>
          <w:szCs w:val="14"/>
          <w:color w:val="auto"/>
        </w:rPr>
        <w:t>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w:t>
      </w: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Represents the distribution of realized proceeds from the disposition of assets.</w:t>
      </w:r>
    </w:p>
    <w:p>
      <w:pPr>
        <w:spacing w:after="0" w:line="14" w:lineRule="exact"/>
        <w:rPr>
          <w:rFonts w:ascii="Arial" w:cs="Arial" w:eastAsia="Arial" w:hAnsi="Arial"/>
          <w:sz w:val="9"/>
          <w:szCs w:val="9"/>
          <w:color w:val="auto"/>
        </w:rPr>
      </w:pPr>
    </w:p>
    <w:p>
      <w:pPr>
        <w:spacing w:after="0" w:line="187"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Reflects the amount of income and capital gain distributions that were not reinvested in the Artisan Funds.</w:t>
      </w:r>
    </w:p>
    <w:p>
      <w:pPr>
        <w:ind w:right="340"/>
        <w:spacing w:after="0" w:line="220"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Net transfers represent certain amounts that we have identified as having been transferred out of one investment strategy, investment vehicle, or account and into another strategy, vehicle, or account.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color w:val="auto"/>
        </w:rPr>
        <w:t>Exhibit 5</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Artisan Partners Asset Management Inc.</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Assets Under Management by Investment Team and Vehicle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Nine Months Ended</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right"/>
              <w:ind w:right="328"/>
              <w:spacing w:after="0"/>
              <w:rPr>
                <w:sz w:val="20"/>
                <w:szCs w:val="20"/>
                <w:color w:val="auto"/>
              </w:rPr>
            </w:pPr>
            <w:r>
              <w:rPr>
                <w:rFonts w:ascii="Arial" w:cs="Arial" w:eastAsia="Arial" w:hAnsi="Arial"/>
                <w:sz w:val="14"/>
                <w:szCs w:val="14"/>
                <w:color w:val="auto"/>
              </w:rPr>
              <w:t>By Investment Team</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Global</w:t>
            </w: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U.S.</w:t>
            </w: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International</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Global</w:t>
            </w: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Sustainable</w:t>
            </w:r>
          </w:p>
        </w:tc>
        <w:tc>
          <w:tcPr>
            <w:tcW w:w="6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Developing</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rPr>
              <w:t>Antero</w:t>
            </w:r>
          </w:p>
        </w:tc>
        <w:tc>
          <w:tcPr>
            <w:tcW w:w="8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International</w:t>
            </w:r>
          </w:p>
        </w:tc>
        <w:tc>
          <w:tcPr>
            <w:tcW w:w="14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EMsights Grandview</w:t>
            </w: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Growth</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gridSpan w:val="2"/>
          </w:tcPr>
          <w:p>
            <w:pPr>
              <w:jc w:val="right"/>
              <w:ind w:right="8"/>
              <w:spacing w:after="0" w:line="145" w:lineRule="exact"/>
              <w:rPr>
                <w:sz w:val="20"/>
                <w:szCs w:val="20"/>
                <w:color w:val="auto"/>
              </w:rPr>
            </w:pPr>
            <w:r>
              <w:rPr>
                <w:rFonts w:ascii="Arial" w:cs="Arial" w:eastAsia="Arial" w:hAnsi="Arial"/>
                <w:sz w:val="14"/>
                <w:szCs w:val="14"/>
                <w:color w:val="auto"/>
              </w:rPr>
              <w:t>Emerging</w:t>
            </w: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Credit</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Peak</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Capital</w:t>
            </w:r>
          </w:p>
        </w:tc>
        <w:tc>
          <w:tcPr>
            <w:tcW w:w="740" w:type="dxa"/>
            <w:vAlign w:val="bottom"/>
            <w:gridSpan w:val="2"/>
          </w:tcPr>
          <w:p>
            <w:pPr>
              <w:jc w:val="right"/>
              <w:ind w:right="28"/>
              <w:spacing w:after="0" w:line="145" w:lineRule="exact"/>
              <w:rPr>
                <w:sz w:val="20"/>
                <w:szCs w:val="20"/>
                <w:color w:val="auto"/>
              </w:rPr>
            </w:pPr>
            <w:r>
              <w:rPr>
                <w:rFonts w:ascii="Arial" w:cs="Arial" w:eastAsia="Arial" w:hAnsi="Arial"/>
                <w:sz w:val="14"/>
                <w:szCs w:val="14"/>
                <w:color w:val="auto"/>
              </w:rPr>
              <w:t>Property</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Value</w:t>
            </w: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9"/>
              </w:rPr>
              <w:t>Value Group</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Markets</w:t>
            </w: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World</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Group</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Small-Mid</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Group</w:t>
            </w: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Partners</w:t>
            </w: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September 30, 2026</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Beginning assets under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$ 31,259</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$ 15,907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7,880</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54,010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$ 37,264</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2,537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$ 15,051</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4,283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2,446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4,913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4,378</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$ 179,928</w:t>
            </w:r>
          </w:p>
        </w:tc>
        <w:tc>
          <w:tcPr>
            <w:tcW w:w="0" w:type="dxa"/>
            <w:vAlign w:val="bottom"/>
          </w:tcPr>
          <w:p>
            <w:pPr>
              <w:spacing w:after="0"/>
              <w:rPr>
                <w:sz w:val="1"/>
                <w:szCs w:val="1"/>
                <w:color w:val="auto"/>
              </w:rPr>
            </w:pPr>
          </w:p>
        </w:tc>
      </w:tr>
      <w:tr>
        <w:trPr>
          <w:trHeight w:val="190"/>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management</w:t>
            </w:r>
          </w:p>
        </w:tc>
        <w:tc>
          <w:tcPr>
            <w:tcW w:w="6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4,651</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317</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6,871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1,524</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3,587</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2,047</w:t>
            </w:r>
          </w:p>
        </w:tc>
        <w:tc>
          <w:tcPr>
            <w:tcW w:w="2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25,871</w:t>
            </w:r>
          </w:p>
        </w:tc>
        <w:tc>
          <w:tcPr>
            <w:tcW w:w="0" w:type="dxa"/>
            <w:vAlign w:val="bottom"/>
          </w:tcPr>
          <w:p>
            <w:pPr>
              <w:spacing w:after="0"/>
              <w:rPr>
                <w:sz w:val="1"/>
                <w:szCs w:val="1"/>
                <w:color w:val="auto"/>
              </w:rPr>
            </w:pPr>
          </w:p>
        </w:tc>
      </w:tr>
      <w:tr>
        <w:trPr>
          <w:trHeight w:val="190"/>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inflows</w:t>
            </w:r>
          </w:p>
        </w:tc>
        <w:tc>
          <w:tcPr>
            <w:tcW w:w="6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(11,024)</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(2,578)</w:t>
            </w: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(8,601)</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(9,367)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(10,211)</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(678)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(1,931)</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(484)</w:t>
            </w:r>
          </w:p>
        </w:tc>
        <w:tc>
          <w:tcPr>
            <w:tcW w:w="2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(50,045)</w:t>
            </w:r>
          </w:p>
        </w:tc>
        <w:tc>
          <w:tcPr>
            <w:tcW w:w="0" w:type="dxa"/>
            <w:vAlign w:val="bottom"/>
          </w:tcPr>
          <w:p>
            <w:pPr>
              <w:spacing w:after="0"/>
              <w:rPr>
                <w:sz w:val="1"/>
                <w:szCs w:val="1"/>
                <w:color w:val="auto"/>
              </w:rPr>
            </w:pPr>
          </w:p>
        </w:tc>
      </w:tr>
      <w:tr>
        <w:trPr>
          <w:trHeight w:val="185"/>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outflows</w:t>
            </w: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640" w:type="dxa"/>
            <w:vAlign w:val="bottom"/>
          </w:tcPr>
          <w:p>
            <w:pPr>
              <w:jc w:val="right"/>
              <w:spacing w:after="0"/>
              <w:rPr>
                <w:sz w:val="20"/>
                <w:szCs w:val="20"/>
                <w:color w:val="auto"/>
              </w:rPr>
            </w:pPr>
            <w:r>
              <w:rPr>
                <w:rFonts w:ascii="Arial" w:cs="Arial" w:eastAsia="Arial" w:hAnsi="Arial"/>
                <w:sz w:val="14"/>
                <w:szCs w:val="14"/>
                <w:color w:val="auto"/>
              </w:rPr>
              <w:t>(6,373)</w:t>
            </w:r>
          </w:p>
        </w:tc>
        <w:tc>
          <w:tcPr>
            <w:tcW w:w="680" w:type="dxa"/>
            <w:vAlign w:val="bottom"/>
          </w:tcPr>
          <w:p>
            <w:pPr>
              <w:jc w:val="right"/>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(8,284)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(2,496)</w:t>
            </w:r>
          </w:p>
        </w:tc>
        <w:tc>
          <w:tcPr>
            <w:tcW w:w="660" w:type="dxa"/>
            <w:vAlign w:val="bottom"/>
          </w:tcPr>
          <w:p>
            <w:pPr>
              <w:jc w:val="right"/>
              <w:spacing w:after="0"/>
              <w:rPr>
                <w:sz w:val="20"/>
                <w:szCs w:val="20"/>
                <w:color w:val="auto"/>
              </w:rPr>
            </w:pPr>
            <w:r>
              <w:rPr>
                <w:rFonts w:ascii="Arial" w:cs="Arial" w:eastAsia="Arial" w:hAnsi="Arial"/>
                <w:sz w:val="14"/>
                <w:szCs w:val="14"/>
                <w:color w:val="auto"/>
              </w:rPr>
              <w:t>(7,140)</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846</w:t>
            </w:r>
          </w:p>
        </w:tc>
        <w:tc>
          <w:tcPr>
            <w:tcW w:w="660" w:type="dxa"/>
            <w:vAlign w:val="bottom"/>
          </w:tcPr>
          <w:p>
            <w:pPr>
              <w:jc w:val="right"/>
              <w:spacing w:after="0"/>
              <w:rPr>
                <w:sz w:val="20"/>
                <w:szCs w:val="20"/>
                <w:color w:val="auto"/>
              </w:rPr>
            </w:pPr>
            <w:r>
              <w:rPr>
                <w:rFonts w:ascii="Arial" w:cs="Arial" w:eastAsia="Arial" w:hAnsi="Arial"/>
                <w:sz w:val="14"/>
                <w:szCs w:val="14"/>
                <w:color w:val="auto"/>
              </w:rPr>
              <w:t>1,656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(1,637)</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1,563</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w:t>
            </w:r>
          </w:p>
        </w:tc>
        <w:tc>
          <w:tcPr>
            <w:tcW w:w="700" w:type="dxa"/>
            <w:vAlign w:val="bottom"/>
          </w:tcPr>
          <w:p>
            <w:pPr>
              <w:jc w:val="right"/>
              <w:spacing w:after="0"/>
              <w:rPr>
                <w:sz w:val="20"/>
                <w:szCs w:val="20"/>
                <w:color w:val="auto"/>
              </w:rPr>
            </w:pPr>
            <w:r>
              <w:rPr>
                <w:rFonts w:ascii="Arial" w:cs="Arial" w:eastAsia="Arial" w:hAnsi="Arial"/>
                <w:sz w:val="14"/>
                <w:szCs w:val="14"/>
                <w:color w:val="auto"/>
              </w:rPr>
              <w:t>(24,174)</w:t>
            </w:r>
          </w:p>
        </w:tc>
        <w:tc>
          <w:tcPr>
            <w:tcW w:w="0" w:type="dxa"/>
            <w:vAlign w:val="bottom"/>
          </w:tcPr>
          <w:p>
            <w:pPr>
              <w:spacing w:after="0"/>
              <w:rPr>
                <w:sz w:val="1"/>
                <w:szCs w:val="1"/>
                <w:color w:val="auto"/>
              </w:rPr>
            </w:pPr>
          </w:p>
        </w:tc>
      </w:tr>
      <w:tr>
        <w:trPr>
          <w:trHeight w:val="239"/>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Acquisitions</w:t>
            </w:r>
            <w:r>
              <w:rPr>
                <w:rFonts w:ascii="Arial" w:cs="Arial" w:eastAsia="Arial" w:hAnsi="Arial"/>
                <w:sz w:val="18"/>
                <w:szCs w:val="1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880</w:t>
            </w:r>
          </w:p>
        </w:tc>
        <w:tc>
          <w:tcPr>
            <w:tcW w:w="70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18"/>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Realizations</w:t>
            </w:r>
            <w:r>
              <w:rPr>
                <w:rFonts w:ascii="Arial" w:cs="Arial" w:eastAsia="Arial" w:hAnsi="Arial"/>
                <w:sz w:val="18"/>
                <w:szCs w:val="18"/>
                <w:color w:val="auto"/>
                <w:vertAlign w:val="superscript"/>
              </w:rPr>
              <w:t>2</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(135)</w:t>
            </w:r>
          </w:p>
        </w:tc>
        <w:tc>
          <w:tcPr>
            <w:tcW w:w="7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6"/>
        </w:trPr>
        <w:tc>
          <w:tcPr>
            <w:tcW w:w="200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Artisan Funds' distributions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18"/>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not reinvested</w:t>
            </w:r>
            <w:r>
              <w:rPr>
                <w:rFonts w:ascii="Arial" w:cs="Arial" w:eastAsia="Arial" w:hAnsi="Arial"/>
                <w:sz w:val="18"/>
                <w:szCs w:val="18"/>
                <w:color w:val="auto"/>
                <w:vertAlign w:val="superscript"/>
              </w:rPr>
              <w:t>3</w:t>
            </w:r>
          </w:p>
        </w:tc>
        <w:tc>
          <w:tcPr>
            <w:tcW w:w="6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Investment returns and</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1,409</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5,105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3,101</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474</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353</w:t>
            </w: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12,808</w:t>
            </w:r>
          </w:p>
        </w:tc>
        <w:tc>
          <w:tcPr>
            <w:tcW w:w="0" w:type="dxa"/>
            <w:vAlign w:val="bottom"/>
          </w:tcPr>
          <w:p>
            <w:pPr>
              <w:spacing w:after="0"/>
              <w:rPr>
                <w:sz w:val="1"/>
                <w:szCs w:val="1"/>
                <w:color w:val="auto"/>
              </w:rPr>
            </w:pPr>
          </w:p>
        </w:tc>
      </w:tr>
      <w:tr>
        <w:trPr>
          <w:trHeight w:val="185"/>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0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Ending assets under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$ 26,295</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$ 16,151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56,398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$ 33,225</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3,857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$ 16,377</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3,107</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2,639</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3,639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6,274</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782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$ 168,744</w:t>
            </w:r>
          </w:p>
        </w:tc>
        <w:tc>
          <w:tcPr>
            <w:tcW w:w="0" w:type="dxa"/>
            <w:vAlign w:val="bottom"/>
          </w:tcPr>
          <w:p>
            <w:pPr>
              <w:spacing w:after="0"/>
              <w:rPr>
                <w:sz w:val="1"/>
                <w:szCs w:val="1"/>
                <w:color w:val="auto"/>
              </w:rPr>
            </w:pPr>
          </w:p>
        </w:tc>
      </w:tr>
      <w:tr>
        <w:trPr>
          <w:trHeight w:val="163"/>
        </w:trPr>
        <w:tc>
          <w:tcPr>
            <w:tcW w:w="200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ind w:left="140"/>
              <w:spacing w:after="0"/>
              <w:rPr>
                <w:sz w:val="20"/>
                <w:szCs w:val="20"/>
                <w:color w:val="auto"/>
              </w:rPr>
            </w:pPr>
            <w:r>
              <w:rPr>
                <w:rFonts w:ascii="Arial" w:cs="Arial" w:eastAsia="Arial" w:hAnsi="Arial"/>
                <w:sz w:val="14"/>
                <w:szCs w:val="14"/>
                <w:color w:val="auto"/>
              </w:rPr>
              <w:t>Average assets under</w:t>
            </w: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00" w:type="dxa"/>
            <w:vAlign w:val="bottom"/>
            <w:gridSpan w:val="2"/>
            <w:vMerge w:val="continue"/>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$ 28,945</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$ 16,915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5,361</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56,668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$ 38,578</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3,276</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$ 16,055</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3,497</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2,627</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4,300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5,155</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851</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$ 181,616</w:t>
            </w:r>
          </w:p>
        </w:tc>
        <w:tc>
          <w:tcPr>
            <w:tcW w:w="0" w:type="dxa"/>
            <w:vAlign w:val="bottom"/>
          </w:tcPr>
          <w:p>
            <w:pPr>
              <w:spacing w:after="0"/>
              <w:rPr>
                <w:sz w:val="1"/>
                <w:szCs w:val="1"/>
                <w:color w:val="auto"/>
              </w:rPr>
            </w:pPr>
          </w:p>
        </w:tc>
      </w:tr>
      <w:tr>
        <w:trPr>
          <w:trHeight w:val="179"/>
        </w:trPr>
        <w:tc>
          <w:tcPr>
            <w:tcW w:w="2000" w:type="dxa"/>
            <w:vAlign w:val="bottom"/>
            <w:gridSpan w:val="2"/>
          </w:tcPr>
          <w:p>
            <w:pPr>
              <w:ind w:left="140"/>
              <w:spacing w:after="0" w:line="174" w:lineRule="exact"/>
              <w:rPr>
                <w:sz w:val="20"/>
                <w:szCs w:val="20"/>
                <w:color w:val="auto"/>
              </w:rPr>
            </w:pPr>
            <w:r>
              <w:rPr>
                <w:rFonts w:ascii="Arial" w:cs="Arial" w:eastAsia="Arial" w:hAnsi="Arial"/>
                <w:sz w:val="14"/>
                <w:szCs w:val="14"/>
                <w:color w:val="auto"/>
              </w:rPr>
              <w:t>management</w:t>
            </w:r>
            <w:r>
              <w:rPr>
                <w:rFonts w:ascii="Arial" w:cs="Arial" w:eastAsia="Arial" w:hAnsi="Arial"/>
                <w:sz w:val="18"/>
                <w:szCs w:val="18"/>
                <w:color w:val="auto"/>
                <w:vertAlign w:val="superscript"/>
              </w:rPr>
              <w:t>4</w:t>
            </w:r>
          </w:p>
        </w:tc>
        <w:tc>
          <w:tcPr>
            <w:tcW w:w="6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30, 2025</w:t>
            </w: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20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Beginning assets under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$ 38,445</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$ 12,934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7,597</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44,295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$ 28,679</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1,552</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$ 11,942</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2,211</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6,544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2,909</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$ 161,208</w:t>
            </w:r>
          </w:p>
        </w:tc>
        <w:tc>
          <w:tcPr>
            <w:tcW w:w="0" w:type="dxa"/>
            <w:vAlign w:val="bottom"/>
          </w:tcPr>
          <w:p>
            <w:pPr>
              <w:spacing w:after="0"/>
              <w:rPr>
                <w:sz w:val="1"/>
                <w:szCs w:val="1"/>
                <w:color w:val="auto"/>
              </w:rPr>
            </w:pPr>
          </w:p>
        </w:tc>
      </w:tr>
      <w:tr>
        <w:trPr>
          <w:trHeight w:val="190"/>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management</w:t>
            </w:r>
          </w:p>
        </w:tc>
        <w:tc>
          <w:tcPr>
            <w:tcW w:w="6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2,693</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334</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6,615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2,880</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3,137</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932</w:t>
            </w:r>
          </w:p>
        </w:tc>
        <w:tc>
          <w:tcPr>
            <w:tcW w:w="2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19,331</w:t>
            </w:r>
          </w:p>
        </w:tc>
        <w:tc>
          <w:tcPr>
            <w:tcW w:w="0" w:type="dxa"/>
            <w:vAlign w:val="bottom"/>
          </w:tcPr>
          <w:p>
            <w:pPr>
              <w:spacing w:after="0"/>
              <w:rPr>
                <w:sz w:val="1"/>
                <w:szCs w:val="1"/>
                <w:color w:val="auto"/>
              </w:rPr>
            </w:pPr>
          </w:p>
        </w:tc>
      </w:tr>
      <w:tr>
        <w:trPr>
          <w:trHeight w:val="190"/>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inflows</w:t>
            </w:r>
          </w:p>
        </w:tc>
        <w:tc>
          <w:tcPr>
            <w:tcW w:w="6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Gross client cash</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(8,450)</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(573)</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(5,931)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(1,704)</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2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(26,363)</w:t>
            </w:r>
          </w:p>
        </w:tc>
        <w:tc>
          <w:tcPr>
            <w:tcW w:w="0" w:type="dxa"/>
            <w:vAlign w:val="bottom"/>
          </w:tcPr>
          <w:p>
            <w:pPr>
              <w:spacing w:after="0"/>
              <w:rPr>
                <w:sz w:val="1"/>
                <w:szCs w:val="1"/>
                <w:color w:val="auto"/>
              </w:rPr>
            </w:pPr>
          </w:p>
        </w:tc>
      </w:tr>
      <w:tr>
        <w:trPr>
          <w:trHeight w:val="185"/>
        </w:trPr>
        <w:tc>
          <w:tcPr>
            <w:tcW w:w="2000" w:type="dxa"/>
            <w:vAlign w:val="bottom"/>
            <w:gridSpan w:val="2"/>
          </w:tcPr>
          <w:p>
            <w:pPr>
              <w:ind w:left="480"/>
              <w:spacing w:after="0"/>
              <w:rPr>
                <w:sz w:val="20"/>
                <w:szCs w:val="20"/>
                <w:color w:val="auto"/>
              </w:rPr>
            </w:pPr>
            <w:r>
              <w:rPr>
                <w:rFonts w:ascii="Arial" w:cs="Arial" w:eastAsia="Arial" w:hAnsi="Arial"/>
                <w:sz w:val="14"/>
                <w:szCs w:val="14"/>
                <w:color w:val="auto"/>
              </w:rPr>
              <w:t>outflows</w:t>
            </w: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640" w:type="dxa"/>
            <w:vAlign w:val="bottom"/>
          </w:tcPr>
          <w:p>
            <w:pPr>
              <w:jc w:val="right"/>
              <w:spacing w:after="0"/>
              <w:rPr>
                <w:sz w:val="20"/>
                <w:szCs w:val="20"/>
                <w:color w:val="auto"/>
              </w:rPr>
            </w:pPr>
            <w:r>
              <w:rPr>
                <w:rFonts w:ascii="Arial" w:cs="Arial" w:eastAsia="Arial" w:hAnsi="Arial"/>
                <w:sz w:val="14"/>
                <w:szCs w:val="14"/>
                <w:color w:val="auto"/>
              </w:rPr>
              <w:t>(5,757)</w:t>
            </w:r>
          </w:p>
        </w:tc>
        <w:tc>
          <w:tcPr>
            <w:tcW w:w="680" w:type="dxa"/>
            <w:vAlign w:val="bottom"/>
          </w:tcPr>
          <w:p>
            <w:pPr>
              <w:jc w:val="right"/>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684</w:t>
            </w:r>
          </w:p>
        </w:tc>
        <w:tc>
          <w:tcPr>
            <w:tcW w:w="66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w:t>
            </w:r>
          </w:p>
        </w:tc>
        <w:tc>
          <w:tcPr>
            <w:tcW w:w="660" w:type="dxa"/>
            <w:vAlign w:val="bottom"/>
          </w:tcPr>
          <w:p>
            <w:pPr>
              <w:jc w:val="right"/>
              <w:spacing w:after="0"/>
              <w:rPr>
                <w:sz w:val="20"/>
                <w:szCs w:val="20"/>
                <w:color w:val="auto"/>
              </w:rPr>
            </w:pPr>
            <w:r>
              <w:rPr>
                <w:rFonts w:ascii="Arial" w:cs="Arial" w:eastAsia="Arial" w:hAnsi="Arial"/>
                <w:sz w:val="14"/>
                <w:szCs w:val="14"/>
                <w:color w:val="auto"/>
              </w:rPr>
              <w:t>1,433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715</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(7,032)</w:t>
            </w:r>
          </w:p>
        </w:tc>
        <w:tc>
          <w:tcPr>
            <w:tcW w:w="0" w:type="dxa"/>
            <w:vAlign w:val="bottom"/>
          </w:tcPr>
          <w:p>
            <w:pPr>
              <w:spacing w:after="0"/>
              <w:rPr>
                <w:sz w:val="1"/>
                <w:szCs w:val="1"/>
                <w:color w:val="auto"/>
              </w:rPr>
            </w:pPr>
          </w:p>
        </w:tc>
      </w:tr>
      <w:tr>
        <w:trPr>
          <w:trHeight w:val="172"/>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Artisan Funds' distributions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18"/>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not reinvested</w:t>
            </w:r>
            <w:r>
              <w:rPr>
                <w:rFonts w:ascii="Arial" w:cs="Arial" w:eastAsia="Arial" w:hAnsi="Arial"/>
                <w:sz w:val="18"/>
                <w:szCs w:val="18"/>
                <w:color w:val="auto"/>
                <w:vertAlign w:val="superscript"/>
              </w:rPr>
              <w:t>3</w:t>
            </w:r>
          </w:p>
        </w:tc>
        <w:tc>
          <w:tcPr>
            <w:tcW w:w="6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Investment returns and</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4,062</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4,183</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454</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7,863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7,069</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581</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456</w:t>
            </w: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27,601</w:t>
            </w:r>
          </w:p>
        </w:tc>
        <w:tc>
          <w:tcPr>
            <w:tcW w:w="0" w:type="dxa"/>
            <w:vAlign w:val="bottom"/>
          </w:tcPr>
          <w:p>
            <w:pPr>
              <w:spacing w:after="0"/>
              <w:rPr>
                <w:sz w:val="1"/>
                <w:szCs w:val="1"/>
                <w:color w:val="auto"/>
              </w:rPr>
            </w:pPr>
          </w:p>
        </w:tc>
      </w:tr>
      <w:tr>
        <w:trPr>
          <w:trHeight w:val="185"/>
        </w:trPr>
        <w:tc>
          <w:tcPr>
            <w:tcW w:w="200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0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Ending assets under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$ 36,750</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$ 15,915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7,812</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52,656</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$ 35,185</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2,355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$ 13,991</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4,962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2,541</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5,065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4,074</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$ 181,306</w:t>
            </w:r>
          </w:p>
        </w:tc>
        <w:tc>
          <w:tcPr>
            <w:tcW w:w="0" w:type="dxa"/>
            <w:vAlign w:val="bottom"/>
          </w:tcPr>
          <w:p>
            <w:pPr>
              <w:spacing w:after="0"/>
              <w:rPr>
                <w:sz w:val="1"/>
                <w:szCs w:val="1"/>
                <w:color w:val="auto"/>
              </w:rPr>
            </w:pPr>
          </w:p>
        </w:tc>
      </w:tr>
      <w:tr>
        <w:trPr>
          <w:trHeight w:val="163"/>
        </w:trPr>
        <w:tc>
          <w:tcPr>
            <w:tcW w:w="200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ind w:left="140"/>
              <w:spacing w:after="0"/>
              <w:rPr>
                <w:sz w:val="20"/>
                <w:szCs w:val="20"/>
                <w:color w:val="auto"/>
              </w:rPr>
            </w:pPr>
            <w:r>
              <w:rPr>
                <w:rFonts w:ascii="Arial" w:cs="Arial" w:eastAsia="Arial" w:hAnsi="Arial"/>
                <w:sz w:val="14"/>
                <w:szCs w:val="14"/>
                <w:color w:val="auto"/>
              </w:rPr>
              <w:t>Average assets under</w:t>
            </w: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00" w:type="dxa"/>
            <w:vAlign w:val="bottom"/>
            <w:gridSpan w:val="2"/>
            <w:vMerge w:val="continue"/>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$ 36,673</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$ 14,454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7,609</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49,142</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$ 31,748</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1,845</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$ 12,780</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4,523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2,343</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5,712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3,529</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$ 170,358</w:t>
            </w:r>
          </w:p>
        </w:tc>
        <w:tc>
          <w:tcPr>
            <w:tcW w:w="0" w:type="dxa"/>
            <w:vAlign w:val="bottom"/>
          </w:tcPr>
          <w:p>
            <w:pPr>
              <w:spacing w:after="0"/>
              <w:rPr>
                <w:sz w:val="1"/>
                <w:szCs w:val="1"/>
                <w:color w:val="auto"/>
              </w:rPr>
            </w:pPr>
          </w:p>
        </w:tc>
      </w:tr>
      <w:tr>
        <w:trPr>
          <w:trHeight w:val="163"/>
        </w:trPr>
        <w:tc>
          <w:tcPr>
            <w:tcW w:w="200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management</w:t>
            </w:r>
          </w:p>
        </w:tc>
        <w:tc>
          <w:tcPr>
            <w:tcW w:w="6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19" w:lineRule="exact"/>
        <w:rPr>
          <w:sz w:val="20"/>
          <w:szCs w:val="20"/>
          <w:color w:val="auto"/>
        </w:rPr>
      </w:pPr>
    </w:p>
    <w:p>
      <w:pPr>
        <w:ind w:left="100" w:hanging="92"/>
        <w:spacing w:after="0"/>
        <w:tabs>
          <w:tab w:leader="none" w:pos="10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AUM obtained in connection with the closing of the Grandview Property Partners acquisition on January 2, 2026.</w:t>
      </w:r>
    </w:p>
    <w:p>
      <w:pPr>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Represents the distribution of realized proceeds from the disposition of assets.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Reflects the amount of income and capital gain distributions that were not reinvested in the Artisan Funds.</w:t>
      </w:r>
    </w:p>
    <w:p>
      <w:pPr>
        <w:spacing w:after="0" w:line="14" w:lineRule="exact"/>
        <w:rPr>
          <w:rFonts w:ascii="Arial" w:cs="Arial" w:eastAsia="Arial" w:hAnsi="Arial"/>
          <w:sz w:val="19"/>
          <w:szCs w:val="19"/>
          <w:color w:val="auto"/>
          <w:vertAlign w:val="superscript"/>
        </w:rPr>
      </w:pPr>
    </w:p>
    <w:p>
      <w:pPr>
        <w:ind w:right="220"/>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Average AUM for Grandview Property Partners is for the period beginning January 2, 2026, when the team was acquired. Average AUM for the U.S. Value team reflects the period through the completion of the team's wind-down on August 30, 2026.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color w:val="auto"/>
        </w:rPr>
        <w:t>Exhibit 5</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Artisan Partners Asset Management Inc.</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Assets Under Management by Investment Team and Vehicle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100" w:type="dxa"/>
        <w:tblCellMar>
          <w:top w:w="0" w:type="dxa"/>
          <w:left w:w="0" w:type="dxa"/>
          <w:bottom w:w="0" w:type="dxa"/>
          <w:right w:w="0" w:type="dxa"/>
        </w:tblCellMar>
      </w:tblPr>
      <w:tr>
        <w:trPr>
          <w:trHeight w:val="194"/>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By Vehicle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Artisan Funds and</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Separate Accounts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Artisan Global Funds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8"/>
              <w:spacing w:after="0" w:line="189" w:lineRule="exact"/>
              <w:rPr>
                <w:sz w:val="20"/>
                <w:szCs w:val="20"/>
                <w:color w:val="auto"/>
              </w:rPr>
            </w:pPr>
            <w:r>
              <w:rPr>
                <w:rFonts w:ascii="Arial" w:cs="Arial" w:eastAsia="Arial" w:hAnsi="Arial"/>
                <w:sz w:val="14"/>
                <w:szCs w:val="14"/>
                <w:color w:val="auto"/>
              </w:rPr>
              <w:t xml:space="preserve">and Other </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September 30, 2026</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 management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87,875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92,053</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179,928</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inflows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18,075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7,796</w:t>
            </w: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25,871</w:t>
            </w:r>
          </w:p>
        </w:tc>
        <w:tc>
          <w:tcPr>
            <w:tcW w:w="0" w:type="dxa"/>
            <w:vAlign w:val="bottom"/>
          </w:tcPr>
          <w:p>
            <w:pPr>
              <w:spacing w:after="0"/>
              <w:rPr>
                <w:sz w:val="1"/>
                <w:szCs w:val="1"/>
                <w:color w:val="auto"/>
              </w:rPr>
            </w:pPr>
          </w:p>
        </w:tc>
      </w:tr>
      <w:tr>
        <w:trPr>
          <w:trHeight w:val="220"/>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outflows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(21,240)</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(28,805)</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(50,045)</w:t>
            </w:r>
          </w:p>
        </w:tc>
        <w:tc>
          <w:tcPr>
            <w:tcW w:w="0" w:type="dxa"/>
            <w:vAlign w:val="bottom"/>
          </w:tcPr>
          <w:p>
            <w:pPr>
              <w:spacing w:after="0"/>
              <w:rPr>
                <w:sz w:val="1"/>
                <w:szCs w:val="1"/>
                <w:color w:val="auto"/>
              </w:rPr>
            </w:pPr>
          </w:p>
        </w:tc>
      </w:tr>
      <w:tr>
        <w:trPr>
          <w:trHeight w:val="205"/>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(3,165)</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(21,009)</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(24,174)</w:t>
            </w:r>
          </w:p>
        </w:tc>
        <w:tc>
          <w:tcPr>
            <w:tcW w:w="0" w:type="dxa"/>
            <w:vAlign w:val="bottom"/>
          </w:tcPr>
          <w:p>
            <w:pPr>
              <w:spacing w:after="0"/>
              <w:rPr>
                <w:sz w:val="1"/>
                <w:szCs w:val="1"/>
                <w:color w:val="auto"/>
              </w:rPr>
            </w:pPr>
          </w:p>
        </w:tc>
      </w:tr>
      <w:tr>
        <w:trPr>
          <w:trHeight w:val="239"/>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Acquisitions</w:t>
            </w:r>
            <w:r>
              <w:rPr>
                <w:rFonts w:ascii="Arial" w:cs="Arial" w:eastAsia="Arial" w:hAnsi="Arial"/>
                <w:sz w:val="18"/>
                <w:szCs w:val="18"/>
                <w:color w:val="auto"/>
                <w:vertAlign w:val="superscript"/>
              </w:rPr>
              <w:t>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880</w:t>
            </w:r>
          </w:p>
        </w:tc>
        <w:tc>
          <w:tcPr>
            <w:tcW w:w="340" w:type="dxa"/>
            <w:vAlign w:val="bottom"/>
          </w:tcPr>
          <w:p>
            <w:pPr>
              <w:spacing w:after="0"/>
              <w:rPr>
                <w:sz w:val="20"/>
                <w:szCs w:val="20"/>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18"/>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Realizations</w:t>
            </w:r>
            <w:r>
              <w:rPr>
                <w:rFonts w:ascii="Arial" w:cs="Arial" w:eastAsia="Arial" w:hAnsi="Arial"/>
                <w:sz w:val="18"/>
                <w:szCs w:val="18"/>
                <w:color w:val="auto"/>
                <w:vertAlign w:val="superscript"/>
              </w:rPr>
              <w:t>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(135)</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6"/>
        </w:trPr>
        <w:tc>
          <w:tcPr>
            <w:tcW w:w="268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Artisan Funds' distributions not</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18"/>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reinvested</w:t>
            </w:r>
            <w:r>
              <w:rPr>
                <w:rFonts w:ascii="Arial" w:cs="Arial" w:eastAsia="Arial" w:hAnsi="Arial"/>
                <w:sz w:val="18"/>
                <w:szCs w:val="18"/>
                <w:color w:val="auto"/>
                <w:vertAlign w:val="superscript"/>
              </w:rPr>
              <w:t>4</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Investment returns and other</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6,122</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6,686</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12,808</w:t>
            </w:r>
          </w:p>
        </w:tc>
        <w:tc>
          <w:tcPr>
            <w:tcW w:w="0" w:type="dxa"/>
            <w:vAlign w:val="bottom"/>
          </w:tcPr>
          <w:p>
            <w:pPr>
              <w:spacing w:after="0"/>
              <w:rPr>
                <w:sz w:val="1"/>
                <w:szCs w:val="1"/>
                <w:color w:val="auto"/>
              </w:rPr>
            </w:pPr>
          </w:p>
        </w:tc>
      </w:tr>
      <w:tr>
        <w:trPr>
          <w:trHeight w:val="224"/>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transfers</w:t>
            </w:r>
            <w:r>
              <w:rPr>
                <w:rFonts w:ascii="Arial" w:cs="Arial" w:eastAsia="Arial" w:hAnsi="Arial"/>
                <w:sz w:val="18"/>
                <w:szCs w:val="18"/>
                <w:color w:val="auto"/>
                <w:vertAlign w:val="superscript"/>
              </w:rPr>
              <w:t>5</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78,503</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168,744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90,456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181,616</w:t>
            </w:r>
          </w:p>
        </w:tc>
        <w:tc>
          <w:tcPr>
            <w:tcW w:w="0" w:type="dxa"/>
            <w:vAlign w:val="bottom"/>
          </w:tcPr>
          <w:p>
            <w:pPr>
              <w:spacing w:after="0"/>
              <w:rPr>
                <w:sz w:val="1"/>
                <w:szCs w:val="1"/>
                <w:color w:val="auto"/>
              </w:rPr>
            </w:pPr>
          </w:p>
        </w:tc>
      </w:tr>
      <w:tr>
        <w:trPr>
          <w:trHeight w:val="21"/>
        </w:trPr>
        <w:tc>
          <w:tcPr>
            <w:tcW w:w="268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30, 2025</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2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Beginning assets under management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77,614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83,594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161,208</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inflows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14,024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5,307</w:t>
            </w: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19,331</w:t>
            </w:r>
          </w:p>
        </w:tc>
        <w:tc>
          <w:tcPr>
            <w:tcW w:w="0" w:type="dxa"/>
            <w:vAlign w:val="bottom"/>
          </w:tcPr>
          <w:p>
            <w:pPr>
              <w:spacing w:after="0"/>
              <w:rPr>
                <w:sz w:val="1"/>
                <w:szCs w:val="1"/>
                <w:color w:val="auto"/>
              </w:rPr>
            </w:pPr>
          </w:p>
        </w:tc>
      </w:tr>
      <w:tr>
        <w:trPr>
          <w:trHeight w:val="220"/>
        </w:trPr>
        <w:tc>
          <w:tcPr>
            <w:tcW w:w="2680" w:type="dxa"/>
            <w:vAlign w:val="bottom"/>
            <w:gridSpan w:val="2"/>
          </w:tcPr>
          <w:p>
            <w:pPr>
              <w:ind w:left="460"/>
              <w:spacing w:after="0"/>
              <w:rPr>
                <w:sz w:val="20"/>
                <w:szCs w:val="20"/>
                <w:color w:val="auto"/>
              </w:rPr>
            </w:pPr>
            <w:r>
              <w:rPr>
                <w:rFonts w:ascii="Arial" w:cs="Arial" w:eastAsia="Arial" w:hAnsi="Arial"/>
                <w:sz w:val="14"/>
                <w:szCs w:val="14"/>
                <w:color w:val="auto"/>
              </w:rPr>
              <w:t>Gross client cash outflows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(15,918)</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(10,445)</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(26,363)</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client cash flows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(1,894)</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(5,138)</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(7,032)</w:t>
            </w:r>
          </w:p>
        </w:tc>
        <w:tc>
          <w:tcPr>
            <w:tcW w:w="0" w:type="dxa"/>
            <w:vAlign w:val="bottom"/>
          </w:tcPr>
          <w:p>
            <w:pPr>
              <w:spacing w:after="0"/>
              <w:rPr>
                <w:sz w:val="1"/>
                <w:szCs w:val="1"/>
                <w:color w:val="auto"/>
              </w:rPr>
            </w:pPr>
          </w:p>
        </w:tc>
      </w:tr>
      <w:tr>
        <w:trPr>
          <w:trHeight w:val="172"/>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Artisan Funds' distributions not</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18"/>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reinvested</w:t>
            </w:r>
            <w:r>
              <w:rPr>
                <w:rFonts w:ascii="Arial" w:cs="Arial" w:eastAsia="Arial" w:hAnsi="Arial"/>
                <w:sz w:val="18"/>
                <w:szCs w:val="18"/>
                <w:color w:val="auto"/>
                <w:vertAlign w:val="superscript"/>
              </w:rPr>
              <w:t>4</w:t>
            </w: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Investment returns and other</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12,818</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14,783</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27,601</w:t>
            </w:r>
          </w:p>
        </w:tc>
        <w:tc>
          <w:tcPr>
            <w:tcW w:w="0" w:type="dxa"/>
            <w:vAlign w:val="bottom"/>
          </w:tcPr>
          <w:p>
            <w:pPr>
              <w:spacing w:after="0"/>
              <w:rPr>
                <w:sz w:val="1"/>
                <w:szCs w:val="1"/>
                <w:color w:val="auto"/>
              </w:rPr>
            </w:pPr>
          </w:p>
        </w:tc>
      </w:tr>
      <w:tr>
        <w:trPr>
          <w:trHeight w:val="224"/>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Net transfers</w:t>
            </w:r>
            <w:r>
              <w:rPr>
                <w:rFonts w:ascii="Arial" w:cs="Arial" w:eastAsia="Arial" w:hAnsi="Arial"/>
                <w:sz w:val="18"/>
                <w:szCs w:val="18"/>
                <w:color w:val="auto"/>
                <w:vertAlign w:val="superscript"/>
              </w:rPr>
              <w:t>5</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93,266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181,306</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87,501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170,358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35" w:lineRule="exact"/>
        <w:rPr>
          <w:sz w:val="20"/>
          <w:szCs w:val="20"/>
          <w:color w:val="auto"/>
        </w:rPr>
      </w:pPr>
    </w:p>
    <w:p>
      <w:pPr>
        <w:ind w:right="80" w:firstLine="8"/>
        <w:spacing w:after="0" w:line="232" w:lineRule="auto"/>
        <w:tabs>
          <w:tab w:leader="none" w:pos="7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w:t>
      </w:r>
    </w:p>
    <w:p>
      <w:pPr>
        <w:spacing w:after="0" w:line="2" w:lineRule="exact"/>
        <w:rPr>
          <w:rFonts w:ascii="Arial" w:cs="Arial" w:eastAsia="Arial" w:hAnsi="Arial"/>
          <w:sz w:val="18"/>
          <w:szCs w:val="18"/>
          <w:color w:val="auto"/>
          <w:vertAlign w:val="superscript"/>
        </w:rPr>
      </w:pPr>
    </w:p>
    <w:p>
      <w:pPr>
        <w:spacing w:after="0" w:line="187"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Reflects AUM obtained in connection with the closing of the Grandview Property Partners acquisition on January 2, 2026.</w:t>
      </w:r>
    </w:p>
    <w:p>
      <w:pPr>
        <w:spacing w:after="0"/>
        <w:rPr>
          <w:rFonts w:ascii="Arial" w:cs="Arial" w:eastAsia="Arial" w:hAnsi="Arial"/>
          <w:sz w:val="18"/>
          <w:szCs w:val="18"/>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Represents the distribution of realized proceeds from the disposition of assets.</w:t>
      </w:r>
    </w:p>
    <w:p>
      <w:pPr>
        <w:spacing w:after="0" w:line="14" w:lineRule="exact"/>
        <w:rPr>
          <w:rFonts w:ascii="Arial" w:cs="Arial" w:eastAsia="Arial" w:hAnsi="Arial"/>
          <w:sz w:val="18"/>
          <w:szCs w:val="18"/>
          <w:color w:val="auto"/>
          <w:vertAlign w:val="superscript"/>
        </w:rPr>
      </w:pPr>
    </w:p>
    <w:p>
      <w:pPr>
        <w:spacing w:after="0" w:line="187"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Reflects the amount of income and capital gain distributions that were not reinvested in the Artisan Funds.</w:t>
      </w:r>
    </w:p>
    <w:p>
      <w:pPr>
        <w:ind w:right="340"/>
        <w:spacing w:after="0" w:line="220"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Net transfers represent certain amounts that we have identified as having been transferred out of one investment strategy, investment vehicle, or account and into another strategy, vehicle, or account.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color w:val="auto"/>
        </w:rPr>
        <w:t>Exhibit 6</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Artisan Partners Asset Management Inc.</w:t>
      </w:r>
    </w:p>
    <w:p>
      <w:pPr>
        <w:jc w:val="center"/>
        <w:ind w:right="20"/>
        <w:spacing w:after="0" w:line="236" w:lineRule="auto"/>
        <w:rPr>
          <w:sz w:val="20"/>
          <w:szCs w:val="20"/>
          <w:color w:val="auto"/>
        </w:rPr>
      </w:pPr>
      <w:r>
        <w:rPr>
          <w:rFonts w:ascii="Arial" w:cs="Arial" w:eastAsia="Arial" w:hAnsi="Arial"/>
          <w:sz w:val="14"/>
          <w:szCs w:val="14"/>
          <w:color w:val="auto"/>
        </w:rPr>
        <w:t xml:space="preserve">Investment Strategy AUM and Gross Composite Performance </w:t>
      </w:r>
      <w:r>
        <w:rPr>
          <w:rFonts w:ascii="Arial" w:cs="Arial" w:eastAsia="Arial" w:hAnsi="Arial"/>
          <w:sz w:val="18"/>
          <w:szCs w:val="18"/>
          <w:color w:val="auto"/>
          <w:vertAlign w:val="superscript"/>
        </w:rPr>
        <w:t>1</w:t>
      </w:r>
    </w:p>
    <w:p>
      <w:pPr>
        <w:jc w:val="center"/>
        <w:ind w:right="20"/>
        <w:spacing w:after="0"/>
        <w:rPr>
          <w:sz w:val="20"/>
          <w:szCs w:val="20"/>
          <w:color w:val="auto"/>
        </w:rPr>
      </w:pPr>
      <w:r>
        <w:rPr>
          <w:rFonts w:ascii="Arial" w:cs="Arial" w:eastAsia="Arial" w:hAnsi="Arial"/>
          <w:sz w:val="14"/>
          <w:szCs w:val="14"/>
          <w:color w:val="auto"/>
        </w:rPr>
        <w:t>As of September 30, 2026</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Average Annual</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080" w:type="dxa"/>
            <w:vAlign w:val="bottom"/>
          </w:tcPr>
          <w:p>
            <w:pPr>
              <w:jc w:val="center"/>
              <w:ind w:left="9"/>
              <w:spacing w:after="0"/>
              <w:rPr>
                <w:sz w:val="20"/>
                <w:szCs w:val="20"/>
                <w:color w:val="auto"/>
              </w:rPr>
            </w:pPr>
            <w:r>
              <w:rPr>
                <w:rFonts w:ascii="Arial" w:cs="Arial" w:eastAsia="Arial" w:hAnsi="Arial"/>
                <w:sz w:val="14"/>
                <w:szCs w:val="14"/>
                <w:color w:val="auto"/>
              </w:rPr>
              <w:t>Composite</w:t>
            </w:r>
          </w:p>
        </w:tc>
        <w:tc>
          <w:tcPr>
            <w:tcW w:w="122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auto"/>
              </w:rPr>
              <w:t>Strategy AUM</w:t>
            </w:r>
          </w:p>
        </w:tc>
        <w:tc>
          <w:tcPr>
            <w:tcW w:w="740" w:type="dxa"/>
            <w:vAlign w:val="bottom"/>
          </w:tcPr>
          <w:p>
            <w:pPr>
              <w:spacing w:after="0"/>
              <w:rPr>
                <w:sz w:val="16"/>
                <w:szCs w:val="16"/>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color w:val="auto"/>
              </w:rPr>
              <w:t>Average Annual Total Returns (%)</w:t>
            </w:r>
          </w:p>
        </w:tc>
        <w:tc>
          <w:tcPr>
            <w:tcW w:w="8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 xml:space="preserve">Value-Added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95"/>
        </w:trPr>
        <w:tc>
          <w:tcPr>
            <w:tcW w:w="3580" w:type="dxa"/>
            <w:vAlign w:val="bottom"/>
            <w:vMerge w:val="restart"/>
          </w:tcPr>
          <w:p>
            <w:pPr>
              <w:ind w:left="20"/>
              <w:spacing w:after="0"/>
              <w:rPr>
                <w:sz w:val="20"/>
                <w:szCs w:val="20"/>
                <w:color w:val="auto"/>
              </w:rPr>
            </w:pPr>
            <w:r>
              <w:rPr>
                <w:rFonts w:ascii="Arial" w:cs="Arial" w:eastAsia="Arial" w:hAnsi="Arial"/>
                <w:sz w:val="14"/>
                <w:szCs w:val="14"/>
                <w:color w:val="auto"/>
              </w:rPr>
              <w:t>Investment Team and Strategy</w:t>
            </w:r>
            <w:r>
              <w:rPr>
                <w:rFonts w:ascii="Arial" w:cs="Arial" w:eastAsia="Arial" w:hAnsi="Arial"/>
                <w:sz w:val="18"/>
                <w:szCs w:val="18"/>
                <w:color w:val="auto"/>
                <w:vertAlign w:val="superscript"/>
              </w:rPr>
              <w:t>2</w:t>
            </w:r>
          </w:p>
        </w:tc>
        <w:tc>
          <w:tcPr>
            <w:tcW w:w="1080" w:type="dxa"/>
            <w:vAlign w:val="bottom"/>
          </w:tcPr>
          <w:p>
            <w:pPr>
              <w:jc w:val="center"/>
              <w:ind w:left="9"/>
              <w:spacing w:after="0" w:line="95" w:lineRule="exact"/>
              <w:rPr>
                <w:sz w:val="20"/>
                <w:szCs w:val="20"/>
                <w:color w:val="auto"/>
              </w:rPr>
            </w:pPr>
            <w:r>
              <w:rPr>
                <w:rFonts w:ascii="Arial" w:cs="Arial" w:eastAsia="Arial" w:hAnsi="Arial"/>
                <w:sz w:val="10"/>
                <w:szCs w:val="10"/>
                <w:color w:val="auto"/>
              </w:rPr>
              <w:t>Inception</w:t>
            </w:r>
          </w:p>
        </w:tc>
        <w:tc>
          <w:tcPr>
            <w:tcW w:w="1220" w:type="dxa"/>
            <w:vAlign w:val="bottom"/>
            <w:gridSpan w:val="3"/>
            <w:vMerge w:val="continue"/>
          </w:tcPr>
          <w:p>
            <w:pPr>
              <w:spacing w:after="0"/>
              <w:rPr>
                <w:sz w:val="8"/>
                <w:szCs w:val="8"/>
                <w:color w:val="auto"/>
              </w:rPr>
            </w:pPr>
          </w:p>
        </w:tc>
        <w:tc>
          <w:tcPr>
            <w:tcW w:w="740" w:type="dxa"/>
            <w:vAlign w:val="bottom"/>
            <w:vMerge w:val="restart"/>
          </w:tcPr>
          <w:p>
            <w:pPr>
              <w:ind w:left="240"/>
              <w:spacing w:after="0"/>
              <w:rPr>
                <w:sz w:val="20"/>
                <w:szCs w:val="20"/>
                <w:color w:val="auto"/>
              </w:rPr>
            </w:pPr>
            <w:r>
              <w:rPr>
                <w:rFonts w:ascii="Arial" w:cs="Arial" w:eastAsia="Arial" w:hAnsi="Arial"/>
                <w:sz w:val="14"/>
                <w:szCs w:val="14"/>
                <w:color w:val="auto"/>
              </w:rPr>
              <w:t>1 YR</w:t>
            </w:r>
          </w:p>
        </w:tc>
        <w:tc>
          <w:tcPr>
            <w:tcW w:w="820" w:type="dxa"/>
            <w:vAlign w:val="bottom"/>
            <w:vMerge w:val="restart"/>
          </w:tcPr>
          <w:p>
            <w:pPr>
              <w:ind w:left="280"/>
              <w:spacing w:after="0"/>
              <w:rPr>
                <w:sz w:val="20"/>
                <w:szCs w:val="20"/>
                <w:color w:val="auto"/>
              </w:rPr>
            </w:pPr>
            <w:r>
              <w:rPr>
                <w:rFonts w:ascii="Arial" w:cs="Arial" w:eastAsia="Arial" w:hAnsi="Arial"/>
                <w:sz w:val="14"/>
                <w:szCs w:val="14"/>
                <w:color w:val="auto"/>
              </w:rPr>
              <w:t>3 YR</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5 YR</w:t>
            </w:r>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10 YR</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Inception</w:t>
            </w:r>
          </w:p>
        </w:tc>
        <w:tc>
          <w:tcPr>
            <w:tcW w:w="1360" w:type="dxa"/>
            <w:vAlign w:val="bottom"/>
          </w:tcPr>
          <w:p>
            <w:pPr>
              <w:jc w:val="center"/>
              <w:spacing w:after="0" w:line="95" w:lineRule="exact"/>
              <w:rPr>
                <w:sz w:val="20"/>
                <w:szCs w:val="20"/>
                <w:color w:val="auto"/>
              </w:rPr>
            </w:pPr>
            <w:r>
              <w:rPr>
                <w:rFonts w:ascii="Arial" w:cs="Arial" w:eastAsia="Arial" w:hAnsi="Arial"/>
                <w:sz w:val="10"/>
                <w:szCs w:val="10"/>
                <w:color w:val="auto"/>
              </w:rPr>
              <w:t>Since Inception</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080" w:type="dxa"/>
            <w:vAlign w:val="bottom"/>
          </w:tcPr>
          <w:p>
            <w:pPr>
              <w:jc w:val="center"/>
              <w:ind w:left="9"/>
              <w:spacing w:after="0"/>
              <w:rPr>
                <w:sz w:val="20"/>
                <w:szCs w:val="20"/>
                <w:color w:val="auto"/>
              </w:rPr>
            </w:pPr>
            <w:r>
              <w:rPr>
                <w:rFonts w:ascii="Arial" w:cs="Arial" w:eastAsia="Arial" w:hAnsi="Arial"/>
                <w:sz w:val="14"/>
                <w:szCs w:val="14"/>
                <w:color w:val="auto"/>
              </w:rPr>
              <w:t>Date</w:t>
            </w:r>
          </w:p>
        </w:tc>
        <w:tc>
          <w:tcPr>
            <w:tcW w:w="22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(in $MM)</w:t>
            </w:r>
            <w:r>
              <w:rPr>
                <w:rFonts w:ascii="Arial" w:cs="Arial" w:eastAsia="Arial" w:hAnsi="Arial"/>
                <w:sz w:val="9"/>
                <w:szCs w:val="9"/>
                <w:color w:val="auto"/>
              </w:rPr>
              <w:t>3</w:t>
            </w:r>
          </w:p>
        </w:tc>
        <w:tc>
          <w:tcPr>
            <w:tcW w:w="7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01"/>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Growth Team</w:t>
            </w: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Opportunities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2/1/2007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11,932</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1.98%</w:t>
            </w:r>
          </w:p>
        </w:tc>
        <w:tc>
          <w:tcPr>
            <w:tcW w:w="820" w:type="dxa"/>
            <w:vAlign w:val="bottom"/>
          </w:tcPr>
          <w:p>
            <w:pPr>
              <w:jc w:val="center"/>
              <w:spacing w:after="0"/>
              <w:rPr>
                <w:sz w:val="20"/>
                <w:szCs w:val="20"/>
                <w:color w:val="auto"/>
              </w:rPr>
            </w:pPr>
            <w:r>
              <w:rPr>
                <w:rFonts w:ascii="Arial" w:cs="Arial" w:eastAsia="Arial" w:hAnsi="Arial"/>
                <w:sz w:val="14"/>
                <w:szCs w:val="14"/>
                <w:color w:val="auto"/>
              </w:rPr>
              <w:t>14.49%</w:t>
            </w:r>
          </w:p>
        </w:tc>
        <w:tc>
          <w:tcPr>
            <w:tcW w:w="760" w:type="dxa"/>
            <w:vAlign w:val="bottom"/>
          </w:tcPr>
          <w:p>
            <w:pPr>
              <w:jc w:val="center"/>
              <w:spacing w:after="0"/>
              <w:rPr>
                <w:sz w:val="20"/>
                <w:szCs w:val="20"/>
                <w:color w:val="auto"/>
              </w:rPr>
            </w:pPr>
            <w:r>
              <w:rPr>
                <w:rFonts w:ascii="Arial" w:cs="Arial" w:eastAsia="Arial" w:hAnsi="Arial"/>
                <w:sz w:val="14"/>
                <w:szCs w:val="14"/>
                <w:color w:val="auto"/>
              </w:rPr>
              <w:t>4.05%</w:t>
            </w:r>
          </w:p>
        </w:tc>
        <w:tc>
          <w:tcPr>
            <w:tcW w:w="780" w:type="dxa"/>
            <w:vAlign w:val="bottom"/>
          </w:tcPr>
          <w:p>
            <w:pPr>
              <w:jc w:val="center"/>
              <w:spacing w:after="0"/>
              <w:rPr>
                <w:sz w:val="20"/>
                <w:szCs w:val="20"/>
                <w:color w:val="auto"/>
              </w:rPr>
            </w:pPr>
            <w:r>
              <w:rPr>
                <w:rFonts w:ascii="Arial" w:cs="Arial" w:eastAsia="Arial" w:hAnsi="Arial"/>
                <w:sz w:val="14"/>
                <w:szCs w:val="14"/>
                <w:color w:val="auto"/>
              </w:rPr>
              <w:t>11.60%</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10.76%</w:t>
            </w:r>
          </w:p>
        </w:tc>
        <w:tc>
          <w:tcPr>
            <w:tcW w:w="1360" w:type="dxa"/>
            <w:vAlign w:val="bottom"/>
          </w:tcPr>
          <w:p>
            <w:pPr>
              <w:jc w:val="center"/>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All Country World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16.75%</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21.71%</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11.57%</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12.37%</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7.90%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Discovery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9/1/2017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6.58%</w:t>
            </w:r>
          </w:p>
        </w:tc>
        <w:tc>
          <w:tcPr>
            <w:tcW w:w="820" w:type="dxa"/>
            <w:vAlign w:val="bottom"/>
          </w:tcPr>
          <w:p>
            <w:pPr>
              <w:jc w:val="center"/>
              <w:spacing w:after="0"/>
              <w:rPr>
                <w:sz w:val="20"/>
                <w:szCs w:val="20"/>
                <w:color w:val="auto"/>
              </w:rPr>
            </w:pPr>
            <w:r>
              <w:rPr>
                <w:rFonts w:ascii="Arial" w:cs="Arial" w:eastAsia="Arial" w:hAnsi="Arial"/>
                <w:sz w:val="14"/>
                <w:szCs w:val="14"/>
                <w:color w:val="auto"/>
              </w:rPr>
              <w:t>15.32%</w:t>
            </w:r>
          </w:p>
        </w:tc>
        <w:tc>
          <w:tcPr>
            <w:tcW w:w="760" w:type="dxa"/>
            <w:vAlign w:val="bottom"/>
          </w:tcPr>
          <w:p>
            <w:pPr>
              <w:jc w:val="center"/>
              <w:spacing w:after="0"/>
              <w:rPr>
                <w:sz w:val="20"/>
                <w:szCs w:val="20"/>
                <w:color w:val="auto"/>
              </w:rPr>
            </w:pPr>
            <w:r>
              <w:rPr>
                <w:rFonts w:ascii="Arial" w:cs="Arial" w:eastAsia="Arial" w:hAnsi="Arial"/>
                <w:sz w:val="14"/>
                <w:szCs w:val="14"/>
                <w:color w:val="auto"/>
              </w:rPr>
              <w:t>4.04%</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12.85%</w:t>
            </w:r>
          </w:p>
        </w:tc>
        <w:tc>
          <w:tcPr>
            <w:tcW w:w="1360" w:type="dxa"/>
            <w:vAlign w:val="bottom"/>
          </w:tcPr>
          <w:p>
            <w:pPr>
              <w:jc w:val="center"/>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All Country World Small Mid Cap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13.37%</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17.12%</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6.99%</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8.76%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U.S. Mid-Cap Growth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4/1/1997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8,878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7.29%</w:t>
            </w:r>
          </w:p>
        </w:tc>
        <w:tc>
          <w:tcPr>
            <w:tcW w:w="820" w:type="dxa"/>
            <w:vAlign w:val="bottom"/>
          </w:tcPr>
          <w:p>
            <w:pPr>
              <w:jc w:val="center"/>
              <w:spacing w:after="0"/>
              <w:rPr>
                <w:sz w:val="20"/>
                <w:szCs w:val="20"/>
                <w:color w:val="auto"/>
              </w:rPr>
            </w:pPr>
            <w:r>
              <w:rPr>
                <w:rFonts w:ascii="Arial" w:cs="Arial" w:eastAsia="Arial" w:hAnsi="Arial"/>
                <w:sz w:val="14"/>
                <w:szCs w:val="14"/>
                <w:color w:val="auto"/>
              </w:rPr>
              <w:t>15.50%</w:t>
            </w:r>
          </w:p>
        </w:tc>
        <w:tc>
          <w:tcPr>
            <w:tcW w:w="760" w:type="dxa"/>
            <w:vAlign w:val="bottom"/>
          </w:tcPr>
          <w:p>
            <w:pPr>
              <w:jc w:val="center"/>
              <w:spacing w:after="0"/>
              <w:rPr>
                <w:sz w:val="20"/>
                <w:szCs w:val="20"/>
                <w:color w:val="auto"/>
              </w:rPr>
            </w:pPr>
            <w:r>
              <w:rPr>
                <w:rFonts w:ascii="Arial" w:cs="Arial" w:eastAsia="Arial" w:hAnsi="Arial"/>
                <w:sz w:val="14"/>
                <w:szCs w:val="14"/>
                <w:color w:val="auto"/>
              </w:rPr>
              <w:t>2.45%</w:t>
            </w:r>
          </w:p>
        </w:tc>
        <w:tc>
          <w:tcPr>
            <w:tcW w:w="780" w:type="dxa"/>
            <w:vAlign w:val="bottom"/>
          </w:tcPr>
          <w:p>
            <w:pPr>
              <w:jc w:val="center"/>
              <w:spacing w:after="0"/>
              <w:rPr>
                <w:sz w:val="20"/>
                <w:szCs w:val="20"/>
                <w:color w:val="auto"/>
              </w:rPr>
            </w:pPr>
            <w:r>
              <w:rPr>
                <w:rFonts w:ascii="Arial" w:cs="Arial" w:eastAsia="Arial" w:hAnsi="Arial"/>
                <w:sz w:val="14"/>
                <w:szCs w:val="14"/>
                <w:color w:val="auto"/>
              </w:rPr>
              <w:t>12.41%</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14.22%</w:t>
            </w:r>
          </w:p>
        </w:tc>
        <w:tc>
          <w:tcPr>
            <w:tcW w:w="1360" w:type="dxa"/>
            <w:vAlign w:val="bottom"/>
          </w:tcPr>
          <w:p>
            <w:pPr>
              <w:jc w:val="center"/>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Russell® Midcap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12.02%</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17.18%</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8.03%</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11.16%</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10.46%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Russell® Midcap Growth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(2.73)%</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15.34%</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4.91%</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11.85%</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9.70%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U.S. Small-Cap Growth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4/1/1995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16.03%</w:t>
            </w:r>
          </w:p>
        </w:tc>
        <w:tc>
          <w:tcPr>
            <w:tcW w:w="820" w:type="dxa"/>
            <w:vAlign w:val="bottom"/>
          </w:tcPr>
          <w:p>
            <w:pPr>
              <w:jc w:val="center"/>
              <w:spacing w:after="0"/>
              <w:rPr>
                <w:sz w:val="20"/>
                <w:szCs w:val="20"/>
                <w:color w:val="auto"/>
              </w:rPr>
            </w:pPr>
            <w:r>
              <w:rPr>
                <w:rFonts w:ascii="Arial" w:cs="Arial" w:eastAsia="Arial" w:hAnsi="Arial"/>
                <w:sz w:val="14"/>
                <w:szCs w:val="14"/>
                <w:color w:val="auto"/>
              </w:rPr>
              <w:t>16.03%</w:t>
            </w:r>
          </w:p>
        </w:tc>
        <w:tc>
          <w:tcPr>
            <w:tcW w:w="760" w:type="dxa"/>
            <w:vAlign w:val="bottom"/>
          </w:tcPr>
          <w:p>
            <w:pPr>
              <w:jc w:val="center"/>
              <w:spacing w:after="0"/>
              <w:rPr>
                <w:sz w:val="20"/>
                <w:szCs w:val="20"/>
                <w:color w:val="auto"/>
              </w:rPr>
            </w:pPr>
            <w:r>
              <w:rPr>
                <w:rFonts w:ascii="Arial" w:cs="Arial" w:eastAsia="Arial" w:hAnsi="Arial"/>
                <w:sz w:val="14"/>
                <w:szCs w:val="14"/>
                <w:color w:val="auto"/>
              </w:rPr>
              <w:t>1.05%</w:t>
            </w:r>
          </w:p>
        </w:tc>
        <w:tc>
          <w:tcPr>
            <w:tcW w:w="780" w:type="dxa"/>
            <w:vAlign w:val="bottom"/>
          </w:tcPr>
          <w:p>
            <w:pPr>
              <w:jc w:val="center"/>
              <w:spacing w:after="0"/>
              <w:rPr>
                <w:sz w:val="20"/>
                <w:szCs w:val="20"/>
                <w:color w:val="auto"/>
              </w:rPr>
            </w:pPr>
            <w:r>
              <w:rPr>
                <w:rFonts w:ascii="Arial" w:cs="Arial" w:eastAsia="Arial" w:hAnsi="Arial"/>
                <w:sz w:val="14"/>
                <w:szCs w:val="14"/>
                <w:color w:val="auto"/>
              </w:rPr>
              <w:t>11.74%</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10.68%</w:t>
            </w:r>
          </w:p>
        </w:tc>
        <w:tc>
          <w:tcPr>
            <w:tcW w:w="1360" w:type="dxa"/>
            <w:vAlign w:val="bottom"/>
          </w:tcPr>
          <w:p>
            <w:pPr>
              <w:jc w:val="center"/>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Russell® 2000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16.20%</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17.70%</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6.33%</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9.83%</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9.28%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Russell® 2000 Growth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12.05%</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17.53%</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4.71%</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9.89%</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8.10%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Franchise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10/1/2024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(8.18)%</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6.68%</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(1,033)</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All Country World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16.75%</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17.01%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Equity Team</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Equity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4/1/2010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8.41%</w:t>
            </w:r>
          </w:p>
        </w:tc>
        <w:tc>
          <w:tcPr>
            <w:tcW w:w="820" w:type="dxa"/>
            <w:vAlign w:val="bottom"/>
          </w:tcPr>
          <w:p>
            <w:pPr>
              <w:jc w:val="center"/>
              <w:spacing w:after="0"/>
              <w:rPr>
                <w:sz w:val="20"/>
                <w:szCs w:val="20"/>
                <w:color w:val="auto"/>
              </w:rPr>
            </w:pPr>
            <w:r>
              <w:rPr>
                <w:rFonts w:ascii="Arial" w:cs="Arial" w:eastAsia="Arial" w:hAnsi="Arial"/>
                <w:sz w:val="14"/>
                <w:szCs w:val="14"/>
                <w:color w:val="auto"/>
              </w:rPr>
              <w:t>27.61%</w:t>
            </w:r>
          </w:p>
        </w:tc>
        <w:tc>
          <w:tcPr>
            <w:tcW w:w="760" w:type="dxa"/>
            <w:vAlign w:val="bottom"/>
          </w:tcPr>
          <w:p>
            <w:pPr>
              <w:jc w:val="center"/>
              <w:spacing w:after="0"/>
              <w:rPr>
                <w:sz w:val="20"/>
                <w:szCs w:val="20"/>
                <w:color w:val="auto"/>
              </w:rPr>
            </w:pPr>
            <w:r>
              <w:rPr>
                <w:rFonts w:ascii="Arial" w:cs="Arial" w:eastAsia="Arial" w:hAnsi="Arial"/>
                <w:sz w:val="14"/>
                <w:szCs w:val="14"/>
                <w:color w:val="auto"/>
              </w:rPr>
              <w:t>11.32%</w:t>
            </w:r>
          </w:p>
        </w:tc>
        <w:tc>
          <w:tcPr>
            <w:tcW w:w="780" w:type="dxa"/>
            <w:vAlign w:val="bottom"/>
          </w:tcPr>
          <w:p>
            <w:pPr>
              <w:jc w:val="center"/>
              <w:spacing w:after="0"/>
              <w:rPr>
                <w:sz w:val="20"/>
                <w:szCs w:val="20"/>
                <w:color w:val="auto"/>
              </w:rPr>
            </w:pPr>
            <w:r>
              <w:rPr>
                <w:rFonts w:ascii="Arial" w:cs="Arial" w:eastAsia="Arial" w:hAnsi="Arial"/>
                <w:sz w:val="14"/>
                <w:szCs w:val="14"/>
                <w:color w:val="auto"/>
              </w:rPr>
              <w:t>14.67%</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13.45%</w:t>
            </w:r>
          </w:p>
        </w:tc>
        <w:tc>
          <w:tcPr>
            <w:tcW w:w="1360" w:type="dxa"/>
            <w:vAlign w:val="bottom"/>
          </w:tcPr>
          <w:p>
            <w:pPr>
              <w:jc w:val="center"/>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All Country World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16.75%</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21.71%</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11.57%</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12.37%</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10.28%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Non-U.S. Growth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1/1/1996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15,757</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12.23%</w:t>
            </w:r>
          </w:p>
        </w:tc>
        <w:tc>
          <w:tcPr>
            <w:tcW w:w="820" w:type="dxa"/>
            <w:vAlign w:val="bottom"/>
          </w:tcPr>
          <w:p>
            <w:pPr>
              <w:jc w:val="center"/>
              <w:spacing w:after="0"/>
              <w:rPr>
                <w:sz w:val="20"/>
                <w:szCs w:val="20"/>
                <w:color w:val="auto"/>
              </w:rPr>
            </w:pPr>
            <w:r>
              <w:rPr>
                <w:rFonts w:ascii="Arial" w:cs="Arial" w:eastAsia="Arial" w:hAnsi="Arial"/>
                <w:sz w:val="14"/>
                <w:szCs w:val="14"/>
                <w:color w:val="auto"/>
              </w:rPr>
              <w:t>22.85%</w:t>
            </w:r>
          </w:p>
        </w:tc>
        <w:tc>
          <w:tcPr>
            <w:tcW w:w="760" w:type="dxa"/>
            <w:vAlign w:val="bottom"/>
          </w:tcPr>
          <w:p>
            <w:pPr>
              <w:jc w:val="center"/>
              <w:spacing w:after="0"/>
              <w:rPr>
                <w:sz w:val="20"/>
                <w:szCs w:val="20"/>
                <w:color w:val="auto"/>
              </w:rPr>
            </w:pPr>
            <w:r>
              <w:rPr>
                <w:rFonts w:ascii="Arial" w:cs="Arial" w:eastAsia="Arial" w:hAnsi="Arial"/>
                <w:sz w:val="14"/>
                <w:szCs w:val="14"/>
                <w:color w:val="auto"/>
              </w:rPr>
              <w:t>10.36%</w:t>
            </w:r>
          </w:p>
        </w:tc>
        <w:tc>
          <w:tcPr>
            <w:tcW w:w="780" w:type="dxa"/>
            <w:vAlign w:val="bottom"/>
          </w:tcPr>
          <w:p>
            <w:pPr>
              <w:jc w:val="center"/>
              <w:spacing w:after="0"/>
              <w:rPr>
                <w:sz w:val="20"/>
                <w:szCs w:val="20"/>
                <w:color w:val="auto"/>
              </w:rPr>
            </w:pPr>
            <w:r>
              <w:rPr>
                <w:rFonts w:ascii="Arial" w:cs="Arial" w:eastAsia="Arial" w:hAnsi="Arial"/>
                <w:sz w:val="14"/>
                <w:szCs w:val="14"/>
                <w:color w:val="auto"/>
              </w:rPr>
              <w:t>10.59%</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10.29%</w:t>
            </w:r>
          </w:p>
        </w:tc>
        <w:tc>
          <w:tcPr>
            <w:tcW w:w="1360" w:type="dxa"/>
            <w:vAlign w:val="bottom"/>
          </w:tcPr>
          <w:p>
            <w:pPr>
              <w:jc w:val="center"/>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EAFE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15.69%</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18.38%</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9.32%</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9.06%</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5.85%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International Value Group</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International Value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7/1/2002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54,995</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15.45%</w:t>
            </w:r>
          </w:p>
        </w:tc>
        <w:tc>
          <w:tcPr>
            <w:tcW w:w="820" w:type="dxa"/>
            <w:vAlign w:val="bottom"/>
          </w:tcPr>
          <w:p>
            <w:pPr>
              <w:jc w:val="center"/>
              <w:spacing w:after="0"/>
              <w:rPr>
                <w:sz w:val="20"/>
                <w:szCs w:val="20"/>
                <w:color w:val="auto"/>
              </w:rPr>
            </w:pPr>
            <w:r>
              <w:rPr>
                <w:rFonts w:ascii="Arial" w:cs="Arial" w:eastAsia="Arial" w:hAnsi="Arial"/>
                <w:sz w:val="14"/>
                <w:szCs w:val="14"/>
                <w:color w:val="auto"/>
              </w:rPr>
              <w:t>17.55%</w:t>
            </w:r>
          </w:p>
        </w:tc>
        <w:tc>
          <w:tcPr>
            <w:tcW w:w="760" w:type="dxa"/>
            <w:vAlign w:val="bottom"/>
          </w:tcPr>
          <w:p>
            <w:pPr>
              <w:jc w:val="center"/>
              <w:spacing w:after="0"/>
              <w:rPr>
                <w:sz w:val="20"/>
                <w:szCs w:val="20"/>
                <w:color w:val="auto"/>
              </w:rPr>
            </w:pPr>
            <w:r>
              <w:rPr>
                <w:rFonts w:ascii="Arial" w:cs="Arial" w:eastAsia="Arial" w:hAnsi="Arial"/>
                <w:sz w:val="14"/>
                <w:szCs w:val="14"/>
                <w:color w:val="auto"/>
              </w:rPr>
              <w:t>12.33%</w:t>
            </w:r>
          </w:p>
        </w:tc>
        <w:tc>
          <w:tcPr>
            <w:tcW w:w="780" w:type="dxa"/>
            <w:vAlign w:val="bottom"/>
          </w:tcPr>
          <w:p>
            <w:pPr>
              <w:jc w:val="center"/>
              <w:spacing w:after="0"/>
              <w:rPr>
                <w:sz w:val="20"/>
                <w:szCs w:val="20"/>
                <w:color w:val="auto"/>
              </w:rPr>
            </w:pPr>
            <w:r>
              <w:rPr>
                <w:rFonts w:ascii="Arial" w:cs="Arial" w:eastAsia="Arial" w:hAnsi="Arial"/>
                <w:sz w:val="14"/>
                <w:szCs w:val="14"/>
                <w:color w:val="auto"/>
              </w:rPr>
              <w:t>11.55%</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12.07%</w:t>
            </w:r>
          </w:p>
        </w:tc>
        <w:tc>
          <w:tcPr>
            <w:tcW w:w="1360" w:type="dxa"/>
            <w:vAlign w:val="bottom"/>
          </w:tcPr>
          <w:p>
            <w:pPr>
              <w:jc w:val="center"/>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EAFE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15.69%</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18.38%</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9.32%</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9.06%</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7.10%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International Explorer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11/1/2020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29.64%</w:t>
            </w:r>
          </w:p>
        </w:tc>
        <w:tc>
          <w:tcPr>
            <w:tcW w:w="820" w:type="dxa"/>
            <w:vAlign w:val="bottom"/>
          </w:tcPr>
          <w:p>
            <w:pPr>
              <w:jc w:val="center"/>
              <w:spacing w:after="0"/>
              <w:rPr>
                <w:sz w:val="20"/>
                <w:szCs w:val="20"/>
                <w:color w:val="auto"/>
              </w:rPr>
            </w:pPr>
            <w:r>
              <w:rPr>
                <w:rFonts w:ascii="Arial" w:cs="Arial" w:eastAsia="Arial" w:hAnsi="Arial"/>
                <w:sz w:val="14"/>
                <w:szCs w:val="14"/>
                <w:color w:val="auto"/>
              </w:rPr>
              <w:t>23.30%</w:t>
            </w:r>
          </w:p>
        </w:tc>
        <w:tc>
          <w:tcPr>
            <w:tcW w:w="760" w:type="dxa"/>
            <w:vAlign w:val="bottom"/>
          </w:tcPr>
          <w:p>
            <w:pPr>
              <w:jc w:val="center"/>
              <w:spacing w:after="0"/>
              <w:rPr>
                <w:sz w:val="20"/>
                <w:szCs w:val="20"/>
                <w:color w:val="auto"/>
              </w:rPr>
            </w:pPr>
            <w:r>
              <w:rPr>
                <w:rFonts w:ascii="Arial" w:cs="Arial" w:eastAsia="Arial" w:hAnsi="Arial"/>
                <w:sz w:val="14"/>
                <w:szCs w:val="14"/>
                <w:color w:val="auto"/>
              </w:rPr>
              <w:t>12.13%</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17.90%</w:t>
            </w:r>
          </w:p>
        </w:tc>
        <w:tc>
          <w:tcPr>
            <w:tcW w:w="1360" w:type="dxa"/>
            <w:vAlign w:val="bottom"/>
          </w:tcPr>
          <w:p>
            <w:pPr>
              <w:jc w:val="center"/>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All Country World Index Ex USA Small Cap</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14.66%</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17.87%</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6.74%</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11.40%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Special Situations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4/1/2025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11.81%</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11.03%</w:t>
            </w:r>
          </w:p>
        </w:tc>
        <w:tc>
          <w:tcPr>
            <w:tcW w:w="1360" w:type="dxa"/>
            <w:vAlign w:val="bottom"/>
          </w:tcPr>
          <w:p>
            <w:pPr>
              <w:jc w:val="center"/>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ICE BofA Global High Yield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0.90%</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5.49%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Value Team</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Global Value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7/1/2007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32,185</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16.66%</w:t>
            </w:r>
          </w:p>
        </w:tc>
        <w:tc>
          <w:tcPr>
            <w:tcW w:w="820" w:type="dxa"/>
            <w:vAlign w:val="bottom"/>
          </w:tcPr>
          <w:p>
            <w:pPr>
              <w:jc w:val="center"/>
              <w:spacing w:after="0"/>
              <w:rPr>
                <w:sz w:val="20"/>
                <w:szCs w:val="20"/>
                <w:color w:val="auto"/>
              </w:rPr>
            </w:pPr>
            <w:r>
              <w:rPr>
                <w:rFonts w:ascii="Arial" w:cs="Arial" w:eastAsia="Arial" w:hAnsi="Arial"/>
                <w:sz w:val="14"/>
                <w:szCs w:val="14"/>
                <w:color w:val="auto"/>
              </w:rPr>
              <w:t>22.61%</w:t>
            </w:r>
          </w:p>
        </w:tc>
        <w:tc>
          <w:tcPr>
            <w:tcW w:w="760" w:type="dxa"/>
            <w:vAlign w:val="bottom"/>
          </w:tcPr>
          <w:p>
            <w:pPr>
              <w:jc w:val="center"/>
              <w:spacing w:after="0"/>
              <w:rPr>
                <w:sz w:val="20"/>
                <w:szCs w:val="20"/>
                <w:color w:val="auto"/>
              </w:rPr>
            </w:pPr>
            <w:r>
              <w:rPr>
                <w:rFonts w:ascii="Arial" w:cs="Arial" w:eastAsia="Arial" w:hAnsi="Arial"/>
                <w:sz w:val="14"/>
                <w:szCs w:val="14"/>
                <w:color w:val="auto"/>
              </w:rPr>
              <w:t>13.76%</w:t>
            </w:r>
          </w:p>
        </w:tc>
        <w:tc>
          <w:tcPr>
            <w:tcW w:w="780" w:type="dxa"/>
            <w:vAlign w:val="bottom"/>
          </w:tcPr>
          <w:p>
            <w:pPr>
              <w:jc w:val="center"/>
              <w:spacing w:after="0"/>
              <w:rPr>
                <w:sz w:val="20"/>
                <w:szCs w:val="20"/>
                <w:color w:val="auto"/>
              </w:rPr>
            </w:pPr>
            <w:r>
              <w:rPr>
                <w:rFonts w:ascii="Arial" w:cs="Arial" w:eastAsia="Arial" w:hAnsi="Arial"/>
                <w:sz w:val="14"/>
                <w:szCs w:val="14"/>
                <w:color w:val="auto"/>
              </w:rPr>
              <w:t>12.45%</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10.25%</w:t>
            </w:r>
          </w:p>
        </w:tc>
        <w:tc>
          <w:tcPr>
            <w:tcW w:w="1360" w:type="dxa"/>
            <w:vAlign w:val="bottom"/>
          </w:tcPr>
          <w:p>
            <w:pPr>
              <w:jc w:val="center"/>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All Country World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16.75%</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21.71%</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11.57%</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12.37%</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7.60%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Select Equity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3/1/2020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22.69%</w:t>
            </w:r>
          </w:p>
        </w:tc>
        <w:tc>
          <w:tcPr>
            <w:tcW w:w="820" w:type="dxa"/>
            <w:vAlign w:val="bottom"/>
          </w:tcPr>
          <w:p>
            <w:pPr>
              <w:jc w:val="center"/>
              <w:spacing w:after="0"/>
              <w:rPr>
                <w:sz w:val="20"/>
                <w:szCs w:val="20"/>
                <w:color w:val="auto"/>
              </w:rPr>
            </w:pPr>
            <w:r>
              <w:rPr>
                <w:rFonts w:ascii="Arial" w:cs="Arial" w:eastAsia="Arial" w:hAnsi="Arial"/>
                <w:sz w:val="14"/>
                <w:szCs w:val="14"/>
                <w:color w:val="auto"/>
              </w:rPr>
              <w:t>25.00%</w:t>
            </w:r>
          </w:p>
        </w:tc>
        <w:tc>
          <w:tcPr>
            <w:tcW w:w="760" w:type="dxa"/>
            <w:vAlign w:val="bottom"/>
          </w:tcPr>
          <w:p>
            <w:pPr>
              <w:jc w:val="center"/>
              <w:spacing w:after="0"/>
              <w:rPr>
                <w:sz w:val="20"/>
                <w:szCs w:val="20"/>
                <w:color w:val="auto"/>
              </w:rPr>
            </w:pPr>
            <w:r>
              <w:rPr>
                <w:rFonts w:ascii="Arial" w:cs="Arial" w:eastAsia="Arial" w:hAnsi="Arial"/>
                <w:sz w:val="14"/>
                <w:szCs w:val="14"/>
                <w:color w:val="auto"/>
              </w:rPr>
              <w:t>13.93%</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15.98%</w:t>
            </w:r>
          </w:p>
        </w:tc>
        <w:tc>
          <w:tcPr>
            <w:tcW w:w="1360" w:type="dxa"/>
            <w:vAlign w:val="bottom"/>
          </w:tcPr>
          <w:p>
            <w:pPr>
              <w:jc w:val="center"/>
              <w:spacing w:after="0"/>
              <w:rPr>
                <w:sz w:val="20"/>
                <w:szCs w:val="20"/>
                <w:color w:val="auto"/>
              </w:rPr>
            </w:pPr>
            <w:r>
              <w:rPr>
                <w:rFonts w:ascii="Arial" w:cs="Arial" w:eastAsia="Arial" w:hAnsi="Arial"/>
                <w:sz w:val="14"/>
                <w:szCs w:val="14"/>
                <w:color w:val="auto"/>
                <w:w w:val="97"/>
              </w:rPr>
              <w:t>(128)</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S&amp;P 500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15.74%</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22.87%</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13.78%</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17.26%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Sustainable Emerging Markets Team</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Sustainable Emerging Markets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7/1/2006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3,857</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22.25%</w:t>
            </w:r>
          </w:p>
        </w:tc>
        <w:tc>
          <w:tcPr>
            <w:tcW w:w="820" w:type="dxa"/>
            <w:vAlign w:val="bottom"/>
          </w:tcPr>
          <w:p>
            <w:pPr>
              <w:jc w:val="center"/>
              <w:spacing w:after="0"/>
              <w:rPr>
                <w:sz w:val="20"/>
                <w:szCs w:val="20"/>
                <w:color w:val="auto"/>
              </w:rPr>
            </w:pPr>
            <w:r>
              <w:rPr>
                <w:rFonts w:ascii="Arial" w:cs="Arial" w:eastAsia="Arial" w:hAnsi="Arial"/>
                <w:sz w:val="14"/>
                <w:szCs w:val="14"/>
                <w:color w:val="auto"/>
              </w:rPr>
              <w:t>25.41%</w:t>
            </w:r>
          </w:p>
        </w:tc>
        <w:tc>
          <w:tcPr>
            <w:tcW w:w="760" w:type="dxa"/>
            <w:vAlign w:val="bottom"/>
          </w:tcPr>
          <w:p>
            <w:pPr>
              <w:jc w:val="center"/>
              <w:spacing w:after="0"/>
              <w:rPr>
                <w:sz w:val="20"/>
                <w:szCs w:val="20"/>
                <w:color w:val="auto"/>
              </w:rPr>
            </w:pPr>
            <w:r>
              <w:rPr>
                <w:rFonts w:ascii="Arial" w:cs="Arial" w:eastAsia="Arial" w:hAnsi="Arial"/>
                <w:sz w:val="14"/>
                <w:szCs w:val="14"/>
                <w:color w:val="auto"/>
              </w:rPr>
              <w:t>9.64%</w:t>
            </w:r>
          </w:p>
        </w:tc>
        <w:tc>
          <w:tcPr>
            <w:tcW w:w="780" w:type="dxa"/>
            <w:vAlign w:val="bottom"/>
          </w:tcPr>
          <w:p>
            <w:pPr>
              <w:jc w:val="center"/>
              <w:spacing w:after="0"/>
              <w:rPr>
                <w:sz w:val="20"/>
                <w:szCs w:val="20"/>
                <w:color w:val="auto"/>
              </w:rPr>
            </w:pPr>
            <w:r>
              <w:rPr>
                <w:rFonts w:ascii="Arial" w:cs="Arial" w:eastAsia="Arial" w:hAnsi="Arial"/>
                <w:sz w:val="14"/>
                <w:szCs w:val="14"/>
                <w:color w:val="auto"/>
              </w:rPr>
              <w:t>10.66%</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7.51%</w:t>
            </w:r>
          </w:p>
        </w:tc>
        <w:tc>
          <w:tcPr>
            <w:tcW w:w="1360" w:type="dxa"/>
            <w:vAlign w:val="bottom"/>
          </w:tcPr>
          <w:p>
            <w:pPr>
              <w:jc w:val="center"/>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Emerging Markets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29.22%</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24.07%</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8.94%</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9.08%</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6.65%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Credit Team</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High Income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4/1/2014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14,107</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1.77%</w:t>
            </w:r>
          </w:p>
        </w:tc>
        <w:tc>
          <w:tcPr>
            <w:tcW w:w="820" w:type="dxa"/>
            <w:vAlign w:val="bottom"/>
          </w:tcPr>
          <w:p>
            <w:pPr>
              <w:jc w:val="center"/>
              <w:spacing w:after="0"/>
              <w:rPr>
                <w:sz w:val="20"/>
                <w:szCs w:val="20"/>
                <w:color w:val="auto"/>
              </w:rPr>
            </w:pPr>
            <w:r>
              <w:rPr>
                <w:rFonts w:ascii="Arial" w:cs="Arial" w:eastAsia="Arial" w:hAnsi="Arial"/>
                <w:sz w:val="14"/>
                <w:szCs w:val="14"/>
                <w:color w:val="auto"/>
              </w:rPr>
              <w:t>8.70%</w:t>
            </w:r>
          </w:p>
        </w:tc>
        <w:tc>
          <w:tcPr>
            <w:tcW w:w="760" w:type="dxa"/>
            <w:vAlign w:val="bottom"/>
          </w:tcPr>
          <w:p>
            <w:pPr>
              <w:jc w:val="center"/>
              <w:spacing w:after="0"/>
              <w:rPr>
                <w:sz w:val="20"/>
                <w:szCs w:val="20"/>
                <w:color w:val="auto"/>
              </w:rPr>
            </w:pPr>
            <w:r>
              <w:rPr>
                <w:rFonts w:ascii="Arial" w:cs="Arial" w:eastAsia="Arial" w:hAnsi="Arial"/>
                <w:sz w:val="14"/>
                <w:szCs w:val="14"/>
                <w:color w:val="auto"/>
              </w:rPr>
              <w:t>5.14%</w:t>
            </w:r>
          </w:p>
        </w:tc>
        <w:tc>
          <w:tcPr>
            <w:tcW w:w="780" w:type="dxa"/>
            <w:vAlign w:val="bottom"/>
          </w:tcPr>
          <w:p>
            <w:pPr>
              <w:jc w:val="center"/>
              <w:spacing w:after="0"/>
              <w:rPr>
                <w:sz w:val="20"/>
                <w:szCs w:val="20"/>
                <w:color w:val="auto"/>
              </w:rPr>
            </w:pPr>
            <w:r>
              <w:rPr>
                <w:rFonts w:ascii="Arial" w:cs="Arial" w:eastAsia="Arial" w:hAnsi="Arial"/>
                <w:sz w:val="14"/>
                <w:szCs w:val="14"/>
                <w:color w:val="auto"/>
              </w:rPr>
              <w:t>6.88%</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6.90%</w:t>
            </w:r>
          </w:p>
        </w:tc>
        <w:tc>
          <w:tcPr>
            <w:tcW w:w="1360" w:type="dxa"/>
            <w:vAlign w:val="bottom"/>
          </w:tcPr>
          <w:p>
            <w:pPr>
              <w:jc w:val="center"/>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ICE BofA US High Yield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1.39%</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7.93%</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3.55%</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4.94%</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4.69%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Credit Opportunities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7/1/2017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1.30%</w:t>
            </w:r>
          </w:p>
        </w:tc>
        <w:tc>
          <w:tcPr>
            <w:tcW w:w="820" w:type="dxa"/>
            <w:vAlign w:val="bottom"/>
          </w:tcPr>
          <w:p>
            <w:pPr>
              <w:jc w:val="center"/>
              <w:spacing w:after="0"/>
              <w:rPr>
                <w:sz w:val="20"/>
                <w:szCs w:val="20"/>
                <w:color w:val="auto"/>
              </w:rPr>
            </w:pPr>
            <w:r>
              <w:rPr>
                <w:rFonts w:ascii="Arial" w:cs="Arial" w:eastAsia="Arial" w:hAnsi="Arial"/>
                <w:sz w:val="14"/>
                <w:szCs w:val="14"/>
                <w:color w:val="auto"/>
              </w:rPr>
              <w:t>12.35%</w:t>
            </w:r>
          </w:p>
        </w:tc>
        <w:tc>
          <w:tcPr>
            <w:tcW w:w="760" w:type="dxa"/>
            <w:vAlign w:val="bottom"/>
          </w:tcPr>
          <w:p>
            <w:pPr>
              <w:jc w:val="center"/>
              <w:spacing w:after="0"/>
              <w:rPr>
                <w:sz w:val="20"/>
                <w:szCs w:val="20"/>
                <w:color w:val="auto"/>
              </w:rPr>
            </w:pPr>
            <w:r>
              <w:rPr>
                <w:rFonts w:ascii="Arial" w:cs="Arial" w:eastAsia="Arial" w:hAnsi="Arial"/>
                <w:sz w:val="14"/>
                <w:szCs w:val="14"/>
                <w:color w:val="auto"/>
              </w:rPr>
              <w:t>10.58%</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12.58%</w:t>
            </w:r>
          </w:p>
        </w:tc>
        <w:tc>
          <w:tcPr>
            <w:tcW w:w="1360" w:type="dxa"/>
            <w:vAlign w:val="bottom"/>
          </w:tcPr>
          <w:p>
            <w:pPr>
              <w:jc w:val="center"/>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70"/>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ICE BofA US Dollar 3-Month Deposit Offered Rate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3.82%</w:t>
            </w:r>
          </w:p>
        </w:tc>
        <w:tc>
          <w:tcPr>
            <w:tcW w:w="82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4.68%</w:t>
            </w:r>
          </w:p>
        </w:tc>
        <w:tc>
          <w:tcPr>
            <w:tcW w:w="7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3.78%</w:t>
            </w:r>
          </w:p>
        </w:tc>
        <w:tc>
          <w:tcPr>
            <w:tcW w:w="78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vMerge w:val="restart"/>
          </w:tcPr>
          <w:p>
            <w:pPr>
              <w:jc w:val="center"/>
              <w:ind w:right="68"/>
              <w:spacing w:after="0"/>
              <w:rPr>
                <w:sz w:val="20"/>
                <w:szCs w:val="20"/>
                <w:color w:val="auto"/>
              </w:rPr>
            </w:pPr>
            <w:r>
              <w:rPr>
                <w:rFonts w:ascii="Arial" w:cs="Arial" w:eastAsia="Arial" w:hAnsi="Arial"/>
                <w:sz w:val="14"/>
                <w:szCs w:val="14"/>
                <w:i w:val="1"/>
                <w:iCs w:val="1"/>
                <w:color w:val="auto"/>
              </w:rPr>
              <w:t>2.74%</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Constant Maturity Index</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4"/>
                <w:szCs w:val="14"/>
                <w:color w:val="auto"/>
              </w:rPr>
              <w:t>Floating Rate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1/1/2022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5.19%</w:t>
            </w:r>
          </w:p>
        </w:tc>
        <w:tc>
          <w:tcPr>
            <w:tcW w:w="820" w:type="dxa"/>
            <w:vAlign w:val="bottom"/>
          </w:tcPr>
          <w:p>
            <w:pPr>
              <w:jc w:val="center"/>
              <w:spacing w:after="0"/>
              <w:rPr>
                <w:sz w:val="20"/>
                <w:szCs w:val="20"/>
                <w:color w:val="auto"/>
              </w:rPr>
            </w:pPr>
            <w:r>
              <w:rPr>
                <w:rFonts w:ascii="Arial" w:cs="Arial" w:eastAsia="Arial" w:hAnsi="Arial"/>
                <w:sz w:val="14"/>
                <w:szCs w:val="14"/>
                <w:color w:val="auto"/>
              </w:rPr>
              <w:t>7.65%</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7.09%</w:t>
            </w:r>
          </w:p>
        </w:tc>
        <w:tc>
          <w:tcPr>
            <w:tcW w:w="1360" w:type="dxa"/>
            <w:vAlign w:val="bottom"/>
          </w:tcPr>
          <w:p>
            <w:pPr>
              <w:jc w:val="center"/>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S&amp;P UBS Leveraged Loan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4.65%</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7.10%</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6.29%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80" w:type="dxa"/>
            <w:vAlign w:val="bottom"/>
          </w:tcPr>
          <w:p>
            <w:pPr>
              <w:ind w:left="20"/>
              <w:spacing w:after="0"/>
              <w:rPr>
                <w:sz w:val="20"/>
                <w:szCs w:val="20"/>
                <w:color w:val="auto"/>
              </w:rPr>
            </w:pPr>
            <w:r>
              <w:rPr>
                <w:rFonts w:ascii="Arial" w:cs="Arial" w:eastAsia="Arial" w:hAnsi="Arial"/>
                <w:sz w:val="14"/>
                <w:szCs w:val="14"/>
                <w:color w:val="auto"/>
              </w:rPr>
              <w:t xml:space="preserve">Custom Credit Solutions </w:t>
            </w:r>
            <w:r>
              <w:rPr>
                <w:rFonts w:ascii="Arial" w:cs="Arial" w:eastAsia="Arial" w:hAnsi="Arial"/>
                <w:sz w:val="18"/>
                <w:szCs w:val="18"/>
                <w:color w:val="auto"/>
                <w:vertAlign w:val="superscript"/>
              </w:rPr>
              <w:t>5</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7/1/2025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Developing World Team</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Developing World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7/1/2015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(7.37)%</w:t>
            </w:r>
          </w:p>
        </w:tc>
        <w:tc>
          <w:tcPr>
            <w:tcW w:w="820" w:type="dxa"/>
            <w:vAlign w:val="bottom"/>
          </w:tcPr>
          <w:p>
            <w:pPr>
              <w:jc w:val="center"/>
              <w:spacing w:after="0"/>
              <w:rPr>
                <w:sz w:val="20"/>
                <w:szCs w:val="20"/>
                <w:color w:val="auto"/>
              </w:rPr>
            </w:pPr>
            <w:r>
              <w:rPr>
                <w:rFonts w:ascii="Arial" w:cs="Arial" w:eastAsia="Arial" w:hAnsi="Arial"/>
                <w:sz w:val="14"/>
                <w:szCs w:val="14"/>
                <w:color w:val="auto"/>
              </w:rPr>
              <w:t>17.46%</w:t>
            </w:r>
          </w:p>
        </w:tc>
        <w:tc>
          <w:tcPr>
            <w:tcW w:w="760" w:type="dxa"/>
            <w:vAlign w:val="bottom"/>
          </w:tcPr>
          <w:p>
            <w:pPr>
              <w:jc w:val="center"/>
              <w:spacing w:after="0"/>
              <w:rPr>
                <w:sz w:val="20"/>
                <w:szCs w:val="20"/>
                <w:color w:val="auto"/>
              </w:rPr>
            </w:pPr>
            <w:r>
              <w:rPr>
                <w:rFonts w:ascii="Arial" w:cs="Arial" w:eastAsia="Arial" w:hAnsi="Arial"/>
                <w:sz w:val="14"/>
                <w:szCs w:val="14"/>
                <w:color w:val="auto"/>
              </w:rPr>
              <w:t>0.98%</w:t>
            </w:r>
          </w:p>
        </w:tc>
        <w:tc>
          <w:tcPr>
            <w:tcW w:w="780" w:type="dxa"/>
            <w:vAlign w:val="bottom"/>
          </w:tcPr>
          <w:p>
            <w:pPr>
              <w:jc w:val="center"/>
              <w:spacing w:after="0"/>
              <w:rPr>
                <w:sz w:val="20"/>
                <w:szCs w:val="20"/>
                <w:color w:val="auto"/>
              </w:rPr>
            </w:pPr>
            <w:r>
              <w:rPr>
                <w:rFonts w:ascii="Arial" w:cs="Arial" w:eastAsia="Arial" w:hAnsi="Arial"/>
                <w:sz w:val="14"/>
                <w:szCs w:val="14"/>
                <w:color w:val="auto"/>
              </w:rPr>
              <w:t>11.47%</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10.75%</w:t>
            </w:r>
          </w:p>
        </w:tc>
        <w:tc>
          <w:tcPr>
            <w:tcW w:w="1360" w:type="dxa"/>
            <w:vAlign w:val="bottom"/>
          </w:tcPr>
          <w:p>
            <w:pPr>
              <w:jc w:val="center"/>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MSCI Emerging Markets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29.22%</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24.07%</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8.94%</w:t>
            </w:r>
          </w:p>
        </w:tc>
        <w:tc>
          <w:tcPr>
            <w:tcW w:w="780" w:type="dxa"/>
            <w:vAlign w:val="bottom"/>
          </w:tcPr>
          <w:p>
            <w:pPr>
              <w:jc w:val="center"/>
              <w:spacing w:after="0"/>
              <w:rPr>
                <w:sz w:val="20"/>
                <w:szCs w:val="20"/>
                <w:color w:val="auto"/>
              </w:rPr>
            </w:pPr>
            <w:r>
              <w:rPr>
                <w:rFonts w:ascii="Arial" w:cs="Arial" w:eastAsia="Arial" w:hAnsi="Arial"/>
                <w:sz w:val="14"/>
                <w:szCs w:val="14"/>
                <w:i w:val="1"/>
                <w:iCs w:val="1"/>
                <w:color w:val="auto"/>
              </w:rPr>
              <w:t>9.08%</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7.63%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Antero Peak Group</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Antero Peak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5/1/2017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12.10%</w:t>
            </w:r>
          </w:p>
        </w:tc>
        <w:tc>
          <w:tcPr>
            <w:tcW w:w="820" w:type="dxa"/>
            <w:vAlign w:val="bottom"/>
          </w:tcPr>
          <w:p>
            <w:pPr>
              <w:jc w:val="center"/>
              <w:spacing w:after="0"/>
              <w:rPr>
                <w:sz w:val="20"/>
                <w:szCs w:val="20"/>
                <w:color w:val="auto"/>
              </w:rPr>
            </w:pPr>
            <w:r>
              <w:rPr>
                <w:rFonts w:ascii="Arial" w:cs="Arial" w:eastAsia="Arial" w:hAnsi="Arial"/>
                <w:sz w:val="14"/>
                <w:szCs w:val="14"/>
                <w:color w:val="auto"/>
              </w:rPr>
              <w:t>26.40%</w:t>
            </w:r>
          </w:p>
        </w:tc>
        <w:tc>
          <w:tcPr>
            <w:tcW w:w="760" w:type="dxa"/>
            <w:vAlign w:val="bottom"/>
          </w:tcPr>
          <w:p>
            <w:pPr>
              <w:jc w:val="center"/>
              <w:spacing w:after="0"/>
              <w:rPr>
                <w:sz w:val="20"/>
                <w:szCs w:val="20"/>
                <w:color w:val="auto"/>
              </w:rPr>
            </w:pPr>
            <w:r>
              <w:rPr>
                <w:rFonts w:ascii="Arial" w:cs="Arial" w:eastAsia="Arial" w:hAnsi="Arial"/>
                <w:sz w:val="14"/>
                <w:szCs w:val="14"/>
                <w:color w:val="auto"/>
              </w:rPr>
              <w:t>12.37%</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18.77%</w:t>
            </w:r>
          </w:p>
        </w:tc>
        <w:tc>
          <w:tcPr>
            <w:tcW w:w="1360" w:type="dxa"/>
            <w:vAlign w:val="bottom"/>
          </w:tcPr>
          <w:p>
            <w:pPr>
              <w:jc w:val="center"/>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S&amp;P 500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15.74%</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22.87%</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13.78%</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15.03%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4"/>
                <w:szCs w:val="14"/>
                <w:color w:val="auto"/>
              </w:rPr>
              <w:t>Antero Peak Hedge Strategy</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11/1/2017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10.31%</w:t>
            </w:r>
          </w:p>
        </w:tc>
        <w:tc>
          <w:tcPr>
            <w:tcW w:w="820" w:type="dxa"/>
            <w:vAlign w:val="bottom"/>
          </w:tcPr>
          <w:p>
            <w:pPr>
              <w:jc w:val="center"/>
              <w:spacing w:after="0"/>
              <w:rPr>
                <w:sz w:val="20"/>
                <w:szCs w:val="20"/>
                <w:color w:val="auto"/>
              </w:rPr>
            </w:pPr>
            <w:r>
              <w:rPr>
                <w:rFonts w:ascii="Arial" w:cs="Arial" w:eastAsia="Arial" w:hAnsi="Arial"/>
                <w:sz w:val="14"/>
                <w:szCs w:val="14"/>
                <w:color w:val="auto"/>
              </w:rPr>
              <w:t>23.20%</w:t>
            </w:r>
          </w:p>
        </w:tc>
        <w:tc>
          <w:tcPr>
            <w:tcW w:w="760" w:type="dxa"/>
            <w:vAlign w:val="bottom"/>
          </w:tcPr>
          <w:p>
            <w:pPr>
              <w:jc w:val="center"/>
              <w:spacing w:after="0"/>
              <w:rPr>
                <w:sz w:val="20"/>
                <w:szCs w:val="20"/>
                <w:color w:val="auto"/>
              </w:rPr>
            </w:pPr>
            <w:r>
              <w:rPr>
                <w:rFonts w:ascii="Arial" w:cs="Arial" w:eastAsia="Arial" w:hAnsi="Arial"/>
                <w:sz w:val="14"/>
                <w:szCs w:val="14"/>
                <w:color w:val="auto"/>
              </w:rPr>
              <w:t>10.44%</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13.90%</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(92)</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rPr>
              <w:t>S&amp;P 500 Index</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i w:val="1"/>
                <w:iCs w:val="1"/>
                <w:color w:val="auto"/>
              </w:rPr>
              <w:t>15.74%</w:t>
            </w:r>
          </w:p>
        </w:tc>
        <w:tc>
          <w:tcPr>
            <w:tcW w:w="820" w:type="dxa"/>
            <w:vAlign w:val="bottom"/>
          </w:tcPr>
          <w:p>
            <w:pPr>
              <w:jc w:val="center"/>
              <w:spacing w:after="0"/>
              <w:rPr>
                <w:sz w:val="20"/>
                <w:szCs w:val="20"/>
                <w:color w:val="auto"/>
              </w:rPr>
            </w:pPr>
            <w:r>
              <w:rPr>
                <w:rFonts w:ascii="Arial" w:cs="Arial" w:eastAsia="Arial" w:hAnsi="Arial"/>
                <w:sz w:val="14"/>
                <w:szCs w:val="14"/>
                <w:i w:val="1"/>
                <w:iCs w:val="1"/>
                <w:color w:val="auto"/>
              </w:rPr>
              <w:t>22.87%</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13.78%</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ind w:right="68"/>
              <w:spacing w:after="0"/>
              <w:rPr>
                <w:sz w:val="20"/>
                <w:szCs w:val="20"/>
                <w:color w:val="auto"/>
              </w:rPr>
            </w:pPr>
            <w:r>
              <w:rPr>
                <w:rFonts w:ascii="Arial" w:cs="Arial" w:eastAsia="Arial" w:hAnsi="Arial"/>
                <w:sz w:val="14"/>
                <w:szCs w:val="14"/>
                <w:i w:val="1"/>
                <w:iCs w:val="1"/>
                <w:color w:val="auto"/>
              </w:rPr>
              <w:t>14.82%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20"/>
          </w:cols>
          <w:pgMar w:left="340" w:top="125"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3860" w:type="dxa"/>
            <w:vAlign w:val="bottom"/>
          </w:tcPr>
          <w:p>
            <w:pPr>
              <w:ind w:left="40"/>
              <w:spacing w:after="0"/>
              <w:rPr>
                <w:sz w:val="20"/>
                <w:szCs w:val="20"/>
                <w:color w:val="auto"/>
              </w:rPr>
            </w:pPr>
            <w:r>
              <w:rPr>
                <w:rFonts w:ascii="Arial" w:cs="Arial" w:eastAsia="Arial" w:hAnsi="Arial"/>
                <w:sz w:val="14"/>
                <w:szCs w:val="14"/>
                <w:color w:val="auto"/>
              </w:rPr>
              <w:t>International Small-Mid Team</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Non-U.S. Small-Mid Growth Strategy</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1/1/2019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3,639</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13.19%</w:t>
            </w:r>
          </w:p>
        </w:tc>
        <w:tc>
          <w:tcPr>
            <w:tcW w:w="800" w:type="dxa"/>
            <w:vAlign w:val="bottom"/>
          </w:tcPr>
          <w:p>
            <w:pPr>
              <w:jc w:val="center"/>
              <w:spacing w:after="0"/>
              <w:rPr>
                <w:sz w:val="20"/>
                <w:szCs w:val="20"/>
                <w:color w:val="auto"/>
              </w:rPr>
            </w:pPr>
            <w:r>
              <w:rPr>
                <w:rFonts w:ascii="Arial" w:cs="Arial" w:eastAsia="Arial" w:hAnsi="Arial"/>
                <w:sz w:val="14"/>
                <w:szCs w:val="14"/>
                <w:color w:val="auto"/>
              </w:rPr>
              <w:t>13.91%</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2.68%</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11.09%</w:t>
            </w:r>
          </w:p>
        </w:tc>
        <w:tc>
          <w:tcPr>
            <w:tcW w:w="660" w:type="dxa"/>
            <w:vAlign w:val="bottom"/>
          </w:tcPr>
          <w:p>
            <w:pPr>
              <w:jc w:val="center"/>
              <w:ind w:left="34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6"/>
        </w:trPr>
        <w:tc>
          <w:tcPr>
            <w:tcW w:w="3860" w:type="dxa"/>
            <w:vAlign w:val="bottom"/>
          </w:tcPr>
          <w:p>
            <w:pPr>
              <w:ind w:left="160"/>
              <w:spacing w:after="0"/>
              <w:rPr>
                <w:sz w:val="20"/>
                <w:szCs w:val="20"/>
                <w:color w:val="auto"/>
              </w:rPr>
            </w:pPr>
            <w:r>
              <w:rPr>
                <w:rFonts w:ascii="Arial" w:cs="Arial" w:eastAsia="Arial" w:hAnsi="Arial"/>
                <w:sz w:val="14"/>
                <w:szCs w:val="14"/>
                <w:i w:val="1"/>
                <w:iCs w:val="1"/>
                <w:color w:val="auto"/>
              </w:rPr>
              <w:t>MSCI All Country World Index Ex USA Small Mid Cap</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i w:val="1"/>
                <w:iCs w:val="1"/>
                <w:color w:val="auto"/>
              </w:rPr>
              <w:t>15.97%</w:t>
            </w: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rPr>
              <w:t>18.68%</w:t>
            </w:r>
          </w:p>
        </w:tc>
        <w:tc>
          <w:tcPr>
            <w:tcW w:w="800" w:type="dxa"/>
            <w:vAlign w:val="bottom"/>
          </w:tcPr>
          <w:p>
            <w:pPr>
              <w:jc w:val="right"/>
              <w:ind w:right="168"/>
              <w:spacing w:after="0"/>
              <w:rPr>
                <w:sz w:val="20"/>
                <w:szCs w:val="20"/>
                <w:color w:val="auto"/>
              </w:rPr>
            </w:pPr>
            <w:r>
              <w:rPr>
                <w:rFonts w:ascii="Arial" w:cs="Arial" w:eastAsia="Arial" w:hAnsi="Arial"/>
                <w:sz w:val="14"/>
                <w:szCs w:val="14"/>
                <w:i w:val="1"/>
                <w:iCs w:val="1"/>
                <w:color w:val="auto"/>
              </w:rPr>
              <w:t>7.37%</w:t>
            </w:r>
          </w:p>
        </w:tc>
        <w:tc>
          <w:tcPr>
            <w:tcW w:w="600" w:type="dxa"/>
            <w:vAlign w:val="bottom"/>
          </w:tcPr>
          <w:p>
            <w:pPr>
              <w:jc w:val="right"/>
              <w:ind w:right="168"/>
              <w:spacing w:after="0"/>
              <w:rPr>
                <w:sz w:val="20"/>
                <w:szCs w:val="20"/>
                <w:color w:val="auto"/>
              </w:rPr>
            </w:pPr>
            <w:r>
              <w:rPr>
                <w:rFonts w:ascii="Arial" w:cs="Arial" w:eastAsia="Arial" w:hAnsi="Arial"/>
                <w:sz w:val="14"/>
                <w:szCs w:val="14"/>
                <w:i w:val="1"/>
                <w:iCs w:val="1"/>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i w:val="1"/>
                <w:iCs w:val="1"/>
                <w:color w:val="auto"/>
              </w:rPr>
              <w:t>10.32%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EMsights Capital Group</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Global Unconstrained Strategy</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4/1/2022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2,659</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12.65%</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11.95%</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11.44%</w:t>
            </w:r>
          </w:p>
        </w:tc>
        <w:tc>
          <w:tcPr>
            <w:tcW w:w="660" w:type="dxa"/>
            <w:vAlign w:val="bottom"/>
          </w:tcPr>
          <w:p>
            <w:pPr>
              <w:jc w:val="center"/>
              <w:ind w:left="348"/>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16"/>
        </w:trPr>
        <w:tc>
          <w:tcPr>
            <w:tcW w:w="3860" w:type="dxa"/>
            <w:vAlign w:val="bottom"/>
          </w:tcPr>
          <w:p>
            <w:pPr>
              <w:ind w:left="160"/>
              <w:spacing w:after="0"/>
              <w:rPr>
                <w:sz w:val="20"/>
                <w:szCs w:val="20"/>
                <w:color w:val="auto"/>
              </w:rPr>
            </w:pPr>
            <w:r>
              <w:rPr>
                <w:rFonts w:ascii="Arial" w:cs="Arial" w:eastAsia="Arial" w:hAnsi="Arial"/>
                <w:sz w:val="14"/>
                <w:szCs w:val="14"/>
                <w:i w:val="1"/>
                <w:iCs w:val="1"/>
                <w:color w:val="auto"/>
              </w:rPr>
              <w:t>ICE BofA 3-month Treasury Bill Index</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i w:val="1"/>
                <w:iCs w:val="1"/>
                <w:color w:val="auto"/>
              </w:rPr>
              <w:t>3.65%</w:t>
            </w: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rPr>
              <w:t>4.49%</w:t>
            </w:r>
          </w:p>
        </w:tc>
        <w:tc>
          <w:tcPr>
            <w:tcW w:w="800" w:type="dxa"/>
            <w:vAlign w:val="bottom"/>
          </w:tcPr>
          <w:p>
            <w:pPr>
              <w:jc w:val="right"/>
              <w:ind w:right="288"/>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i w:val="1"/>
                <w:iCs w:val="1"/>
                <w:color w:val="auto"/>
              </w:rPr>
              <w:t>4.11%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Emerging Markets Debt Opportunities Strategy</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5/1/2022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1,646</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14.32%</w:t>
            </w:r>
          </w:p>
        </w:tc>
        <w:tc>
          <w:tcPr>
            <w:tcW w:w="800" w:type="dxa"/>
            <w:vAlign w:val="bottom"/>
          </w:tcPr>
          <w:p>
            <w:pPr>
              <w:jc w:val="center"/>
              <w:spacing w:after="0"/>
              <w:rPr>
                <w:sz w:val="20"/>
                <w:szCs w:val="20"/>
                <w:color w:val="auto"/>
              </w:rPr>
            </w:pPr>
            <w:r>
              <w:rPr>
                <w:rFonts w:ascii="Arial" w:cs="Arial" w:eastAsia="Arial" w:hAnsi="Arial"/>
                <w:sz w:val="14"/>
                <w:szCs w:val="14"/>
                <w:color w:val="auto"/>
              </w:rPr>
              <w:t>14.43%</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13.62%</w:t>
            </w:r>
          </w:p>
        </w:tc>
        <w:tc>
          <w:tcPr>
            <w:tcW w:w="660" w:type="dxa"/>
            <w:vAlign w:val="bottom"/>
          </w:tcPr>
          <w:p>
            <w:pPr>
              <w:jc w:val="center"/>
              <w:ind w:left="34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16"/>
        </w:trPr>
        <w:tc>
          <w:tcPr>
            <w:tcW w:w="3860" w:type="dxa"/>
            <w:vAlign w:val="bottom"/>
          </w:tcPr>
          <w:p>
            <w:pPr>
              <w:ind w:left="160"/>
              <w:spacing w:after="0"/>
              <w:rPr>
                <w:sz w:val="20"/>
                <w:szCs w:val="20"/>
                <w:color w:val="auto"/>
              </w:rPr>
            </w:pPr>
            <w:r>
              <w:rPr>
                <w:rFonts w:ascii="Arial" w:cs="Arial" w:eastAsia="Arial" w:hAnsi="Arial"/>
                <w:sz w:val="14"/>
                <w:szCs w:val="14"/>
                <w:i w:val="1"/>
                <w:iCs w:val="1"/>
                <w:color w:val="auto"/>
              </w:rPr>
              <w:t>J.P. Morgan EMB Hard Currency/Local Currency 50-50</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i w:val="1"/>
                <w:iCs w:val="1"/>
                <w:color w:val="auto"/>
              </w:rPr>
              <w:t>3.04%</w:t>
            </w: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rPr>
              <w:t>8.38%</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i w:val="1"/>
                <w:iCs w:val="1"/>
                <w:color w:val="auto"/>
              </w:rPr>
              <w:t>6.20%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Emerging Markets Local Opportunities Strategy</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8/1/2022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1,969</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10.32%</w:t>
            </w:r>
          </w:p>
        </w:tc>
        <w:tc>
          <w:tcPr>
            <w:tcW w:w="800" w:type="dxa"/>
            <w:vAlign w:val="bottom"/>
          </w:tcPr>
          <w:p>
            <w:pPr>
              <w:jc w:val="center"/>
              <w:spacing w:after="0"/>
              <w:rPr>
                <w:sz w:val="20"/>
                <w:szCs w:val="20"/>
                <w:color w:val="auto"/>
              </w:rPr>
            </w:pPr>
            <w:r>
              <w:rPr>
                <w:rFonts w:ascii="Arial" w:cs="Arial" w:eastAsia="Arial" w:hAnsi="Arial"/>
                <w:sz w:val="14"/>
                <w:szCs w:val="14"/>
                <w:color w:val="auto"/>
              </w:rPr>
              <w:t>13.02%</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12.07%</w:t>
            </w:r>
          </w:p>
        </w:tc>
        <w:tc>
          <w:tcPr>
            <w:tcW w:w="660" w:type="dxa"/>
            <w:vAlign w:val="bottom"/>
          </w:tcPr>
          <w:p>
            <w:pPr>
              <w:jc w:val="center"/>
              <w:ind w:left="34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16"/>
        </w:trPr>
        <w:tc>
          <w:tcPr>
            <w:tcW w:w="3860" w:type="dxa"/>
            <w:vAlign w:val="bottom"/>
          </w:tcPr>
          <w:p>
            <w:pPr>
              <w:ind w:left="160"/>
              <w:spacing w:after="0"/>
              <w:rPr>
                <w:sz w:val="20"/>
                <w:szCs w:val="20"/>
                <w:color w:val="auto"/>
              </w:rPr>
            </w:pPr>
            <w:r>
              <w:rPr>
                <w:rFonts w:ascii="Arial" w:cs="Arial" w:eastAsia="Arial" w:hAnsi="Arial"/>
                <w:sz w:val="14"/>
                <w:szCs w:val="14"/>
                <w:i w:val="1"/>
                <w:iCs w:val="1"/>
                <w:color w:val="auto"/>
              </w:rPr>
              <w:t>J.P. Morgan GBI-EM Global Diversified Index</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i w:val="1"/>
                <w:iCs w:val="1"/>
                <w:color w:val="auto"/>
              </w:rPr>
              <w:t>3.92%</w:t>
            </w: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rPr>
              <w:t>8.15%</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28"/>
              <w:spacing w:after="0"/>
              <w:rPr>
                <w:sz w:val="20"/>
                <w:szCs w:val="20"/>
                <w:color w:val="auto"/>
              </w:rPr>
            </w:pPr>
            <w:r>
              <w:rPr>
                <w:rFonts w:ascii="Arial" w:cs="Arial" w:eastAsia="Arial" w:hAnsi="Arial"/>
                <w:sz w:val="14"/>
                <w:szCs w:val="14"/>
                <w:i w:val="1"/>
                <w:iCs w:val="1"/>
                <w:color w:val="auto"/>
              </w:rPr>
              <w:t>7.64%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 xml:space="preserve">Grandview Property Partners </w:t>
            </w:r>
            <w:r>
              <w:rPr>
                <w:rFonts w:ascii="Arial" w:cs="Arial" w:eastAsia="Arial" w:hAnsi="Arial"/>
                <w:sz w:val="9"/>
                <w:szCs w:val="9"/>
                <w:color w:val="auto"/>
              </w:rPr>
              <w:t>6</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4"/>
                <w:szCs w:val="14"/>
                <w:color w:val="auto"/>
              </w:rPr>
              <w:t>Grandview Property Partners</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782</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108"/>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ind w:lef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3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40"/>
              <w:spacing w:after="0"/>
              <w:rPr>
                <w:sz w:val="20"/>
                <w:szCs w:val="20"/>
                <w:color w:val="auto"/>
              </w:rPr>
            </w:pPr>
            <w:r>
              <w:rPr>
                <w:rFonts w:ascii="Arial" w:cs="Arial" w:eastAsia="Arial" w:hAnsi="Arial"/>
                <w:sz w:val="14"/>
                <w:szCs w:val="14"/>
                <w:color w:val="auto"/>
              </w:rPr>
              <w:t>Total Assets Under Management</w:t>
            </w:r>
          </w:p>
        </w:tc>
        <w:tc>
          <w:tcPr>
            <w:tcW w:w="8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168,744</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______________________________________</w:t>
            </w: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38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firstLine="8"/>
        <w:spacing w:after="0" w:line="266" w:lineRule="auto"/>
        <w:tabs>
          <w:tab w:leader="none" w:pos="92" w:val="left"/>
        </w:tabs>
        <w:numPr>
          <w:ilvl w:val="0"/>
          <w:numId w:val="11"/>
        </w:numPr>
        <w:rPr>
          <w:rFonts w:ascii="Arial" w:cs="Arial" w:eastAsia="Arial" w:hAnsi="Arial"/>
          <w:sz w:val="9"/>
          <w:szCs w:val="9"/>
          <w:color w:val="auto"/>
        </w:rPr>
      </w:pPr>
      <w:r>
        <w:rPr>
          <w:rFonts w:ascii="Arial" w:cs="Arial" w:eastAsia="Arial" w:hAnsi="Arial"/>
          <w:sz w:val="14"/>
          <w:szCs w:val="14"/>
          <w:color w:val="auto"/>
        </w:rPr>
        <w:t>We measure the results of our “composites”, which represent the aggregate performance of all discretionary client accounts, including pooled investment vehicles, invested in the same strategy except those accounts with respect to which we believe client-imposed restrictions may have a material impact on portfolio construction and those accounts managed in a currency other than U.S. dollars (the results of these accounts, which represented approximately 17% of our assets under management at September 30, 2026, are maintained in separate composites, which are not presented in these materials). Returns for periods less than one year are not annualized.</w:t>
      </w:r>
    </w:p>
    <w:p>
      <w:pPr>
        <w:spacing w:after="0" w:line="2" w:lineRule="exact"/>
        <w:rPr>
          <w:rFonts w:ascii="Arial" w:cs="Arial" w:eastAsia="Arial" w:hAnsi="Arial"/>
          <w:sz w:val="9"/>
          <w:szCs w:val="9"/>
          <w:color w:val="auto"/>
        </w:rPr>
      </w:pPr>
    </w:p>
    <w:p>
      <w:pPr>
        <w:spacing w:after="0" w:line="187"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The wind down of the U.S. Value team was completed August 30, 2026 and therefore the team had no AUM outstanding as of September 30, 2026.</w:t>
      </w:r>
    </w:p>
    <w:p>
      <w:pPr>
        <w:ind w:right="480"/>
        <w:spacing w:after="0" w:line="26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AUM for Artisan Sustainable Emerging Markets, U.S. Mid-Cap Growth, Global Value and Antero Peak strategies includes $508.8 million in aggregate for which Artisan</w:t>
      </w:r>
      <w:r>
        <w:rPr>
          <w:rFonts w:ascii="Arial" w:cs="Arial" w:eastAsia="Arial" w:hAnsi="Arial"/>
          <w:sz w:val="9"/>
          <w:szCs w:val="9"/>
          <w:color w:val="auto"/>
        </w:rPr>
        <w:t xml:space="preserve"> </w:t>
      </w:r>
      <w:r>
        <w:rPr>
          <w:rFonts w:ascii="Arial" w:cs="Arial" w:eastAsia="Arial" w:hAnsi="Arial"/>
          <w:sz w:val="14"/>
          <w:szCs w:val="14"/>
          <w:color w:val="auto"/>
        </w:rPr>
        <w:t>Partners provides investment models to managed account sponsors (generally reported on a lag not exceeding one quarter).</w:t>
      </w:r>
    </w:p>
    <w:p>
      <w:pPr>
        <w:ind w:right="320"/>
        <w:spacing w:after="0" w:line="232"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Value-added is the amount, in basis points, by which the average annual gross composite return of each of our strategies has outperformed or underperformed its respective benchmark. See Forward-Looking Statements and Other Disclosures for further information on the benchmark indexes used. Value-added for periods less than one year is not annualized.</w:t>
      </w:r>
    </w:p>
    <w:p>
      <w:pPr>
        <w:spacing w:after="0" w:line="1" w:lineRule="exact"/>
        <w:rPr>
          <w:rFonts w:ascii="Arial" w:cs="Arial" w:eastAsia="Arial" w:hAnsi="Arial"/>
          <w:sz w:val="9"/>
          <w:szCs w:val="9"/>
          <w:color w:val="auto"/>
        </w:rPr>
      </w:pPr>
    </w:p>
    <w:p>
      <w:pPr>
        <w:ind w:right="60"/>
        <w:spacing w:after="0" w:line="261" w:lineRule="auto"/>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4"/>
          <w:szCs w:val="14"/>
          <w:color w:val="auto"/>
        </w:rPr>
        <w:t>Custom Credit Solutions represents assets managed by the Credit team within custom, investor-driven mandates for which there is no combined performance track record. A</w:t>
      </w:r>
      <w:r>
        <w:rPr>
          <w:rFonts w:ascii="Arial" w:cs="Arial" w:eastAsia="Arial" w:hAnsi="Arial"/>
          <w:sz w:val="9"/>
          <w:szCs w:val="9"/>
          <w:color w:val="auto"/>
        </w:rPr>
        <w:t xml:space="preserve"> </w:t>
      </w:r>
      <w:r>
        <w:rPr>
          <w:rFonts w:ascii="Arial" w:cs="Arial" w:eastAsia="Arial" w:hAnsi="Arial"/>
          <w:sz w:val="14"/>
          <w:szCs w:val="14"/>
          <w:color w:val="auto"/>
        </w:rPr>
        <w:t>portion of these assets under management was previously reported under the High Income strategy.</w:t>
      </w:r>
    </w:p>
    <w:p>
      <w:pPr>
        <w:spacing w:after="0" w:line="229" w:lineRule="auto"/>
        <w:rPr>
          <w:rFonts w:ascii="Arial" w:cs="Arial" w:eastAsia="Arial" w:hAnsi="Arial"/>
          <w:sz w:val="9"/>
          <w:szCs w:val="9"/>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Grandview Property Partners' AUM reflects assets managed across Grandview's flagship fund and co-investment program. Performance information for the Grandview Funds is not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sectPr>
      <w:pgSz w:w="11900" w:h="16838" w:orient="portrait"/>
      <w:cols w:equalWidth="0" w:num="1">
        <w:col w:w="11140"/>
      </w:cols>
      <w:pgMar w:left="320" w:top="6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2026-10-27T15:28:56Z</dcterms:created>
  <dcterms:modified xsi:type="dcterms:W3CDTF">2026-10-27T15:28:56Z</dcterms:modified>
</cp:coreProperties>
</file>