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340995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79"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5"/>
          <w:szCs w:val="25"/>
          <w:b w:val="1"/>
          <w:bCs w:val="1"/>
          <w:color w:val="auto"/>
        </w:rPr>
        <w:t>UNITED STATES</w:t>
      </w:r>
    </w:p>
    <w:p>
      <w:pPr>
        <w:spacing w:after="0" w:line="17"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70"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2748280</wp:posOffset>
            </wp:positionH>
            <wp:positionV relativeFrom="paragraph">
              <wp:posOffset>64770</wp:posOffset>
            </wp:positionV>
            <wp:extent cx="16459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645920" cy="8255"/>
                    </a:xfrm>
                    <a:prstGeom prst="rect">
                      <a:avLst/>
                    </a:prstGeom>
                    <a:noFill/>
                  </pic:spPr>
                </pic:pic>
              </a:graphicData>
            </a:graphic>
          </wp:anchor>
        </w:drawing>
      </w:r>
    </w:p>
    <w:p>
      <w:pPr>
        <w:spacing w:after="0" w:line="200" w:lineRule="exact"/>
        <w:rPr>
          <w:sz w:val="24"/>
          <w:szCs w:val="24"/>
          <w:color w:val="auto"/>
        </w:rPr>
      </w:pPr>
    </w:p>
    <w:p>
      <w:pPr>
        <w:spacing w:after="0" w:line="296"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2"/>
          <w:szCs w:val="22"/>
          <w:b w:val="1"/>
          <w:bCs w:val="1"/>
          <w:color w:val="auto"/>
        </w:rPr>
        <w:t>Form 10-Q</w:t>
      </w:r>
    </w:p>
    <w:p>
      <w:pPr>
        <w:spacing w:after="0" w:line="3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16"/>
          <w:szCs w:val="16"/>
          <w:b w:val="1"/>
          <w:bCs w:val="1"/>
          <w:color w:val="auto"/>
        </w:rPr>
        <w:t>(Mark One)</w:t>
      </w:r>
    </w:p>
    <w:p>
      <w:pPr>
        <w:spacing w:after="0" w:line="31" w:lineRule="exact"/>
        <w:rPr>
          <w:sz w:val="24"/>
          <w:szCs w:val="24"/>
          <w:color w:val="auto"/>
        </w:rPr>
      </w:pPr>
    </w:p>
    <w:p>
      <w:pPr>
        <w:ind w:left="1120" w:right="1900" w:hanging="640"/>
        <w:spacing w:after="0" w:line="318" w:lineRule="auto"/>
        <w:tabs>
          <w:tab w:leader="none" w:pos="112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b w:val="1"/>
          <w:bCs w:val="1"/>
          <w:color w:val="auto"/>
        </w:rPr>
        <w:t>QUARTERLY REPORT PURSUANT TO SECTION 13 OR 15(d) OF THE SECURITIES EXCHANGE ACT OF 1934 FOR THE QUARTERLY PERIOD ENDED MARCH 31, 2026</w:t>
      </w:r>
    </w:p>
    <w:p>
      <w:pPr>
        <w:spacing w:after="0" w:line="66"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OR</w:t>
      </w:r>
    </w:p>
    <w:p>
      <w:pPr>
        <w:spacing w:after="0" w:line="32" w:lineRule="exact"/>
        <w:rPr>
          <w:sz w:val="24"/>
          <w:szCs w:val="24"/>
          <w:color w:val="auto"/>
        </w:rPr>
      </w:pPr>
    </w:p>
    <w:p>
      <w:pPr>
        <w:ind w:left="1120" w:right="1900" w:hanging="640"/>
        <w:spacing w:after="0" w:line="318" w:lineRule="auto"/>
        <w:tabs>
          <w:tab w:leader="none" w:pos="1120" w:val="left"/>
        </w:tabs>
        <w:numPr>
          <w:ilvl w:val="0"/>
          <w:numId w:val="2"/>
        </w:numPr>
        <w:rPr>
          <w:rFonts w:ascii="MS PGothic" w:cs="MS PGothic" w:eastAsia="MS PGothic" w:hAnsi="MS PGothic"/>
          <w:sz w:val="16"/>
          <w:szCs w:val="16"/>
          <w:color w:val="auto"/>
        </w:rPr>
      </w:pPr>
      <w:r>
        <w:rPr>
          <w:rFonts w:ascii="Times New Roman" w:cs="Times New Roman" w:eastAsia="Times New Roman" w:hAnsi="Times New Roman"/>
          <w:sz w:val="16"/>
          <w:szCs w:val="16"/>
          <w:b w:val="1"/>
          <w:bCs w:val="1"/>
          <w:color w:val="auto"/>
        </w:rPr>
        <w:t>TRANSITION REPORT PURSUANT TO SECTION 13 OR 15(d) OF THE SECURITIES EXCHANGE ACT OF 1934 FOR THE TRANSITION PERIOD FROM TO</w:t>
      </w:r>
    </w:p>
    <w:p>
      <w:pPr>
        <w:spacing w:after="0" w:line="200" w:lineRule="exact"/>
        <w:rPr>
          <w:sz w:val="24"/>
          <w:szCs w:val="24"/>
          <w:color w:val="auto"/>
        </w:rPr>
      </w:pPr>
    </w:p>
    <w:p>
      <w:pPr>
        <w:spacing w:after="0" w:line="200" w:lineRule="exact"/>
        <w:rPr>
          <w:sz w:val="24"/>
          <w:szCs w:val="24"/>
          <w:color w:val="auto"/>
        </w:rPr>
      </w:pPr>
    </w:p>
    <w:p>
      <w:pPr>
        <w:spacing w:after="0" w:line="327"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Commission file number: 001-35826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2748280</wp:posOffset>
            </wp:positionH>
            <wp:positionV relativeFrom="paragraph">
              <wp:posOffset>30480</wp:posOffset>
            </wp:positionV>
            <wp:extent cx="16459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645920" cy="8255"/>
                    </a:xfrm>
                    <a:prstGeom prst="rect">
                      <a:avLst/>
                    </a:prstGeom>
                    <a:noFill/>
                  </pic:spPr>
                </pic:pic>
              </a:graphicData>
            </a:graphic>
          </wp:anchor>
        </w:drawing>
      </w:r>
    </w:p>
    <w:p>
      <w:pPr>
        <w:spacing w:after="0" w:line="174"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5"/>
          <w:szCs w:val="25"/>
          <w:b w:val="1"/>
          <w:bCs w:val="1"/>
          <w:color w:val="auto"/>
        </w:rPr>
        <w:t>Artisan Partners Asset Management Inc.</w:t>
      </w:r>
    </w:p>
    <w:p>
      <w:pPr>
        <w:spacing w:after="0" w:line="43"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6"/>
          <w:szCs w:val="16"/>
          <w:i w:val="1"/>
          <w:iCs w:val="1"/>
          <w:color w:val="auto"/>
        </w:rPr>
        <w:t>(Exact name of registrant as specified in its charter)</w:t>
      </w:r>
    </w:p>
    <w:p>
      <w:pPr>
        <w:spacing w:after="0" w:line="26" w:lineRule="exact"/>
        <w:rPr>
          <w:sz w:val="24"/>
          <w:szCs w:val="24"/>
          <w:color w:val="auto"/>
        </w:rPr>
      </w:pPr>
    </w:p>
    <w:tbl>
      <w:tblPr>
        <w:tblLayout w:type="fixed"/>
        <w:tblInd w:w="10" w:type="dxa"/>
        <w:tblCellMar>
          <w:top w:w="0" w:type="dxa"/>
          <w:left w:w="0" w:type="dxa"/>
          <w:bottom w:w="0" w:type="dxa"/>
          <w:right w:w="0" w:type="dxa"/>
        </w:tblCellMar>
      </w:tblPr>
      <w:tr>
        <w:trPr>
          <w:trHeight w:val="212"/>
        </w:trPr>
        <w:tc>
          <w:tcPr>
            <w:tcW w:w="4560" w:type="dxa"/>
            <w:vAlign w:val="bottom"/>
          </w:tcPr>
          <w:p>
            <w:pPr>
              <w:jc w:val="center"/>
              <w:ind w:left="979"/>
              <w:spacing w:after="0"/>
              <w:rPr>
                <w:sz w:val="20"/>
                <w:szCs w:val="20"/>
                <w:color w:val="auto"/>
              </w:rPr>
            </w:pPr>
            <w:r>
              <w:rPr>
                <w:rFonts w:ascii="Times New Roman" w:cs="Times New Roman" w:eastAsia="Times New Roman" w:hAnsi="Times New Roman"/>
                <w:sz w:val="16"/>
                <w:szCs w:val="16"/>
                <w:b w:val="1"/>
                <w:bCs w:val="1"/>
                <w:color w:val="auto"/>
              </w:rPr>
              <w:t>Delaware</w:t>
            </w:r>
          </w:p>
        </w:tc>
        <w:tc>
          <w:tcPr>
            <w:tcW w:w="19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880" w:type="dxa"/>
            <w:vAlign w:val="bottom"/>
          </w:tcPr>
          <w:p>
            <w:pPr>
              <w:jc w:val="right"/>
              <w:ind w:right="2359"/>
              <w:spacing w:after="0"/>
              <w:rPr>
                <w:sz w:val="20"/>
                <w:szCs w:val="20"/>
                <w:color w:val="auto"/>
              </w:rPr>
            </w:pPr>
            <w:r>
              <w:rPr>
                <w:rFonts w:ascii="Times New Roman" w:cs="Times New Roman" w:eastAsia="Times New Roman" w:hAnsi="Times New Roman"/>
                <w:sz w:val="16"/>
                <w:szCs w:val="16"/>
                <w:b w:val="1"/>
                <w:bCs w:val="1"/>
                <w:color w:val="auto"/>
              </w:rPr>
              <w:t>45-0969585</w:t>
            </w:r>
          </w:p>
        </w:tc>
      </w:tr>
      <w:tr>
        <w:trPr>
          <w:trHeight w:val="168"/>
        </w:trPr>
        <w:tc>
          <w:tcPr>
            <w:tcW w:w="4560" w:type="dxa"/>
            <w:vAlign w:val="bottom"/>
          </w:tcPr>
          <w:p>
            <w:pPr>
              <w:jc w:val="center"/>
              <w:ind w:left="979"/>
              <w:spacing w:after="0" w:line="168" w:lineRule="exact"/>
              <w:rPr>
                <w:sz w:val="20"/>
                <w:szCs w:val="20"/>
                <w:color w:val="auto"/>
              </w:rPr>
            </w:pPr>
            <w:r>
              <w:rPr>
                <w:rFonts w:ascii="Times New Roman" w:cs="Times New Roman" w:eastAsia="Times New Roman" w:hAnsi="Times New Roman"/>
                <w:sz w:val="16"/>
                <w:szCs w:val="16"/>
                <w:i w:val="1"/>
                <w:iCs w:val="1"/>
                <w:color w:val="auto"/>
              </w:rPr>
              <w:t>(State or other jurisdiction of</w:t>
            </w:r>
          </w:p>
        </w:tc>
        <w:tc>
          <w:tcPr>
            <w:tcW w:w="19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880" w:type="dxa"/>
            <w:vAlign w:val="bottom"/>
          </w:tcPr>
          <w:p>
            <w:pPr>
              <w:jc w:val="center"/>
              <w:ind w:right="1679"/>
              <w:spacing w:after="0" w:line="168" w:lineRule="exact"/>
              <w:rPr>
                <w:sz w:val="20"/>
                <w:szCs w:val="20"/>
                <w:color w:val="auto"/>
              </w:rPr>
            </w:pPr>
            <w:r>
              <w:rPr>
                <w:rFonts w:ascii="Times New Roman" w:cs="Times New Roman" w:eastAsia="Times New Roman" w:hAnsi="Times New Roman"/>
                <w:sz w:val="16"/>
                <w:szCs w:val="16"/>
                <w:i w:val="1"/>
                <w:iCs w:val="1"/>
                <w:color w:val="auto"/>
              </w:rPr>
              <w:t>(I.R.S. Employer</w:t>
            </w:r>
          </w:p>
        </w:tc>
      </w:tr>
      <w:tr>
        <w:trPr>
          <w:trHeight w:val="212"/>
        </w:trPr>
        <w:tc>
          <w:tcPr>
            <w:tcW w:w="4560" w:type="dxa"/>
            <w:vAlign w:val="bottom"/>
          </w:tcPr>
          <w:p>
            <w:pPr>
              <w:jc w:val="center"/>
              <w:ind w:left="999"/>
              <w:spacing w:after="0"/>
              <w:rPr>
                <w:sz w:val="20"/>
                <w:szCs w:val="20"/>
                <w:color w:val="auto"/>
              </w:rPr>
            </w:pPr>
            <w:r>
              <w:rPr>
                <w:rFonts w:ascii="Times New Roman" w:cs="Times New Roman" w:eastAsia="Times New Roman" w:hAnsi="Times New Roman"/>
                <w:sz w:val="16"/>
                <w:szCs w:val="16"/>
                <w:i w:val="1"/>
                <w:iCs w:val="1"/>
                <w:color w:val="auto"/>
              </w:rPr>
              <w:t>incorporation or organization)</w:t>
            </w:r>
          </w:p>
        </w:tc>
        <w:tc>
          <w:tcPr>
            <w:tcW w:w="19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880" w:type="dxa"/>
            <w:vAlign w:val="bottom"/>
          </w:tcPr>
          <w:p>
            <w:pPr>
              <w:jc w:val="center"/>
              <w:ind w:right="1679"/>
              <w:spacing w:after="0"/>
              <w:rPr>
                <w:sz w:val="20"/>
                <w:szCs w:val="20"/>
                <w:color w:val="auto"/>
              </w:rPr>
            </w:pPr>
            <w:r>
              <w:rPr>
                <w:rFonts w:ascii="Times New Roman" w:cs="Times New Roman" w:eastAsia="Times New Roman" w:hAnsi="Times New Roman"/>
                <w:sz w:val="16"/>
                <w:szCs w:val="16"/>
                <w:i w:val="1"/>
                <w:iCs w:val="1"/>
                <w:color w:val="auto"/>
              </w:rPr>
              <w:t>Identification No.)</w:t>
            </w:r>
          </w:p>
        </w:tc>
      </w:tr>
      <w:tr>
        <w:trPr>
          <w:trHeight w:val="268"/>
        </w:trPr>
        <w:tc>
          <w:tcPr>
            <w:tcW w:w="4560" w:type="dxa"/>
            <w:vAlign w:val="bottom"/>
          </w:tcPr>
          <w:p>
            <w:pPr>
              <w:jc w:val="center"/>
              <w:ind w:left="999"/>
              <w:spacing w:after="0"/>
              <w:rPr>
                <w:sz w:val="20"/>
                <w:szCs w:val="20"/>
                <w:color w:val="auto"/>
              </w:rPr>
            </w:pPr>
            <w:r>
              <w:rPr>
                <w:rFonts w:ascii="Times New Roman" w:cs="Times New Roman" w:eastAsia="Times New Roman" w:hAnsi="Times New Roman"/>
                <w:sz w:val="16"/>
                <w:szCs w:val="16"/>
                <w:b w:val="1"/>
                <w:bCs w:val="1"/>
                <w:color w:val="auto"/>
              </w:rPr>
              <w:t>875 E. Wisconsin Avenue, Suite 800</w:t>
            </w:r>
          </w:p>
        </w:tc>
        <w:tc>
          <w:tcPr>
            <w:tcW w:w="194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3880" w:type="dxa"/>
            <w:vAlign w:val="bottom"/>
          </w:tcPr>
          <w:p>
            <w:pPr>
              <w:spacing w:after="0"/>
              <w:rPr>
                <w:sz w:val="23"/>
                <w:szCs w:val="23"/>
                <w:color w:val="auto"/>
              </w:rPr>
            </w:pPr>
          </w:p>
        </w:tc>
      </w:tr>
      <w:tr>
        <w:trPr>
          <w:trHeight w:val="216"/>
        </w:trPr>
        <w:tc>
          <w:tcPr>
            <w:tcW w:w="4560" w:type="dxa"/>
            <w:vAlign w:val="bottom"/>
          </w:tcPr>
          <w:p>
            <w:pPr>
              <w:ind w:left="2440"/>
              <w:spacing w:after="0"/>
              <w:rPr>
                <w:sz w:val="20"/>
                <w:szCs w:val="20"/>
                <w:color w:val="auto"/>
              </w:rPr>
            </w:pPr>
            <w:r>
              <w:rPr>
                <w:rFonts w:ascii="Times New Roman" w:cs="Times New Roman" w:eastAsia="Times New Roman" w:hAnsi="Times New Roman"/>
                <w:sz w:val="16"/>
                <w:szCs w:val="16"/>
                <w:b w:val="1"/>
                <w:bCs w:val="1"/>
                <w:color w:val="auto"/>
              </w:rPr>
              <w:t>Milwaukee, WI</w:t>
            </w:r>
          </w:p>
        </w:tc>
        <w:tc>
          <w:tcPr>
            <w:tcW w:w="19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880" w:type="dxa"/>
            <w:vAlign w:val="bottom"/>
          </w:tcPr>
          <w:p>
            <w:pPr>
              <w:jc w:val="right"/>
              <w:ind w:right="2539"/>
              <w:spacing w:after="0"/>
              <w:rPr>
                <w:sz w:val="20"/>
                <w:szCs w:val="20"/>
                <w:color w:val="auto"/>
              </w:rPr>
            </w:pPr>
            <w:r>
              <w:rPr>
                <w:rFonts w:ascii="Times New Roman" w:cs="Times New Roman" w:eastAsia="Times New Roman" w:hAnsi="Times New Roman"/>
                <w:sz w:val="16"/>
                <w:szCs w:val="16"/>
                <w:b w:val="1"/>
                <w:bCs w:val="1"/>
                <w:color w:val="auto"/>
              </w:rPr>
              <w:t>53202</w:t>
            </w:r>
          </w:p>
        </w:tc>
      </w:tr>
      <w:tr>
        <w:trPr>
          <w:trHeight w:val="216"/>
        </w:trPr>
        <w:tc>
          <w:tcPr>
            <w:tcW w:w="4560" w:type="dxa"/>
            <w:vAlign w:val="bottom"/>
          </w:tcPr>
          <w:p>
            <w:pPr>
              <w:jc w:val="center"/>
              <w:ind w:left="999"/>
              <w:spacing w:after="0"/>
              <w:rPr>
                <w:sz w:val="20"/>
                <w:szCs w:val="20"/>
                <w:color w:val="auto"/>
              </w:rPr>
            </w:pPr>
            <w:r>
              <w:rPr>
                <w:rFonts w:ascii="Times New Roman" w:cs="Times New Roman" w:eastAsia="Times New Roman" w:hAnsi="Times New Roman"/>
                <w:sz w:val="16"/>
                <w:szCs w:val="16"/>
                <w:i w:val="1"/>
                <w:iCs w:val="1"/>
                <w:color w:val="auto"/>
              </w:rPr>
              <w:t>(Address of principal executive offices)</w:t>
            </w:r>
          </w:p>
        </w:tc>
        <w:tc>
          <w:tcPr>
            <w:tcW w:w="19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880" w:type="dxa"/>
            <w:vAlign w:val="bottom"/>
          </w:tcPr>
          <w:p>
            <w:pPr>
              <w:jc w:val="center"/>
              <w:ind w:right="1699"/>
              <w:spacing w:after="0"/>
              <w:rPr>
                <w:sz w:val="20"/>
                <w:szCs w:val="20"/>
                <w:color w:val="auto"/>
              </w:rPr>
            </w:pPr>
            <w:r>
              <w:rPr>
                <w:rFonts w:ascii="Times New Roman" w:cs="Times New Roman" w:eastAsia="Times New Roman" w:hAnsi="Times New Roman"/>
                <w:sz w:val="16"/>
                <w:szCs w:val="16"/>
                <w:i w:val="1"/>
                <w:iCs w:val="1"/>
                <w:color w:val="auto"/>
              </w:rPr>
              <w:t>(Zip Code)</w:t>
            </w:r>
          </w:p>
        </w:tc>
      </w:tr>
      <w:tr>
        <w:trPr>
          <w:trHeight w:val="287"/>
        </w:trPr>
        <w:tc>
          <w:tcPr>
            <w:tcW w:w="4560" w:type="dxa"/>
            <w:vAlign w:val="bottom"/>
          </w:tcPr>
          <w:p>
            <w:pPr>
              <w:spacing w:after="0"/>
              <w:rPr>
                <w:sz w:val="24"/>
                <w:szCs w:val="24"/>
                <w:color w:val="auto"/>
              </w:rPr>
            </w:pPr>
          </w:p>
        </w:tc>
        <w:tc>
          <w:tcPr>
            <w:tcW w:w="1940" w:type="dxa"/>
            <w:vAlign w:val="bottom"/>
          </w:tcPr>
          <w:p>
            <w:pPr>
              <w:jc w:val="right"/>
              <w:ind w:right="279"/>
              <w:spacing w:after="0"/>
              <w:rPr>
                <w:sz w:val="20"/>
                <w:szCs w:val="20"/>
                <w:color w:val="auto"/>
              </w:rPr>
            </w:pPr>
            <w:r>
              <w:rPr>
                <w:rFonts w:ascii="Times New Roman" w:cs="Times New Roman" w:eastAsia="Times New Roman" w:hAnsi="Times New Roman"/>
                <w:sz w:val="16"/>
                <w:szCs w:val="16"/>
                <w:b w:val="1"/>
                <w:bCs w:val="1"/>
                <w:color w:val="auto"/>
              </w:rPr>
              <w:t>(414) 390-6100</w:t>
            </w:r>
          </w:p>
        </w:tc>
        <w:tc>
          <w:tcPr>
            <w:tcW w:w="880" w:type="dxa"/>
            <w:vAlign w:val="bottom"/>
          </w:tcPr>
          <w:p>
            <w:pPr>
              <w:spacing w:after="0"/>
              <w:rPr>
                <w:sz w:val="24"/>
                <w:szCs w:val="24"/>
                <w:color w:val="auto"/>
              </w:rPr>
            </w:pPr>
          </w:p>
        </w:tc>
        <w:tc>
          <w:tcPr>
            <w:tcW w:w="3880" w:type="dxa"/>
            <w:vAlign w:val="bottom"/>
          </w:tcPr>
          <w:p>
            <w:pPr>
              <w:spacing w:after="0"/>
              <w:rPr>
                <w:sz w:val="24"/>
                <w:szCs w:val="24"/>
                <w:color w:val="auto"/>
              </w:rPr>
            </w:pPr>
          </w:p>
        </w:tc>
      </w:tr>
      <w:tr>
        <w:trPr>
          <w:trHeight w:val="212"/>
        </w:trPr>
        <w:tc>
          <w:tcPr>
            <w:tcW w:w="7380" w:type="dxa"/>
            <w:vAlign w:val="bottom"/>
            <w:gridSpan w:val="3"/>
          </w:tcPr>
          <w:p>
            <w:pPr>
              <w:jc w:val="center"/>
              <w:ind w:left="3779"/>
              <w:spacing w:after="0"/>
              <w:rPr>
                <w:sz w:val="20"/>
                <w:szCs w:val="20"/>
                <w:color w:val="auto"/>
              </w:rPr>
            </w:pPr>
            <w:r>
              <w:rPr>
                <w:rFonts w:ascii="Times New Roman" w:cs="Times New Roman" w:eastAsia="Times New Roman" w:hAnsi="Times New Roman"/>
                <w:sz w:val="16"/>
                <w:szCs w:val="16"/>
                <w:i w:val="1"/>
                <w:iCs w:val="1"/>
                <w:color w:val="auto"/>
                <w:w w:val="99"/>
              </w:rPr>
              <w:t>(Registrant’s telephone number, including area code)</w:t>
            </w:r>
          </w:p>
        </w:tc>
        <w:tc>
          <w:tcPr>
            <w:tcW w:w="3880" w:type="dxa"/>
            <w:vAlign w:val="bottom"/>
          </w:tcPr>
          <w:p>
            <w:pPr>
              <w:spacing w:after="0"/>
              <w:rPr>
                <w:sz w:val="18"/>
                <w:szCs w:val="18"/>
                <w:color w:val="auto"/>
              </w:rPr>
            </w:pPr>
          </w:p>
        </w:tc>
      </w:tr>
      <w:tr>
        <w:trPr>
          <w:trHeight w:val="432"/>
        </w:trPr>
        <w:tc>
          <w:tcPr>
            <w:tcW w:w="45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Securities registered pursuant to Section 12(b) of the Act:</w:t>
            </w:r>
          </w:p>
        </w:tc>
        <w:tc>
          <w:tcPr>
            <w:tcW w:w="19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3880" w:type="dxa"/>
            <w:vAlign w:val="bottom"/>
            <w:tcBorders>
              <w:bottom w:val="single" w:sz="8" w:color="auto"/>
            </w:tcBorders>
          </w:tcPr>
          <w:p>
            <w:pPr>
              <w:spacing w:after="0"/>
              <w:rPr>
                <w:sz w:val="24"/>
                <w:szCs w:val="24"/>
                <w:color w:val="auto"/>
              </w:rPr>
            </w:pPr>
          </w:p>
        </w:tc>
      </w:tr>
      <w:tr>
        <w:trPr>
          <w:trHeight w:val="213"/>
        </w:trPr>
        <w:tc>
          <w:tcPr>
            <w:tcW w:w="456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Title of each class</w:t>
            </w:r>
          </w:p>
        </w:tc>
        <w:tc>
          <w:tcPr>
            <w:tcW w:w="19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Trading Symbol</w:t>
            </w:r>
          </w:p>
        </w:tc>
        <w:tc>
          <w:tcPr>
            <w:tcW w:w="880" w:type="dxa"/>
            <w:vAlign w:val="bottom"/>
            <w:tcBorders>
              <w:bottom w:val="single" w:sz="8" w:color="auto"/>
            </w:tcBorders>
          </w:tcPr>
          <w:p>
            <w:pPr>
              <w:spacing w:after="0"/>
              <w:rPr>
                <w:sz w:val="18"/>
                <w:szCs w:val="18"/>
                <w:color w:val="auto"/>
              </w:rPr>
            </w:pPr>
          </w:p>
        </w:tc>
        <w:tc>
          <w:tcPr>
            <w:tcW w:w="3880" w:type="dxa"/>
            <w:vAlign w:val="bottom"/>
            <w:tcBorders>
              <w:bottom w:val="single" w:sz="8" w:color="auto"/>
              <w:right w:val="single" w:sz="8" w:color="auto"/>
            </w:tcBorders>
          </w:tcPr>
          <w:p>
            <w:pPr>
              <w:jc w:val="center"/>
              <w:ind w:right="819"/>
              <w:spacing w:after="0"/>
              <w:rPr>
                <w:sz w:val="20"/>
                <w:szCs w:val="20"/>
                <w:color w:val="auto"/>
              </w:rPr>
            </w:pPr>
            <w:r>
              <w:rPr>
                <w:rFonts w:ascii="Times New Roman" w:cs="Times New Roman" w:eastAsia="Times New Roman" w:hAnsi="Times New Roman"/>
                <w:sz w:val="16"/>
                <w:szCs w:val="16"/>
                <w:color w:val="auto"/>
              </w:rPr>
              <w:t>Name of each exchange on which registered</w:t>
            </w:r>
          </w:p>
        </w:tc>
      </w:tr>
      <w:tr>
        <w:trPr>
          <w:trHeight w:val="209"/>
        </w:trPr>
        <w:tc>
          <w:tcPr>
            <w:tcW w:w="456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Class A common stock, par value $0.01 per share</w:t>
            </w:r>
          </w:p>
        </w:tc>
        <w:tc>
          <w:tcPr>
            <w:tcW w:w="19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APAM</w:t>
            </w:r>
          </w:p>
        </w:tc>
        <w:tc>
          <w:tcPr>
            <w:tcW w:w="880" w:type="dxa"/>
            <w:vAlign w:val="bottom"/>
            <w:tcBorders>
              <w:bottom w:val="single" w:sz="8" w:color="auto"/>
            </w:tcBorders>
          </w:tcPr>
          <w:p>
            <w:pPr>
              <w:spacing w:after="0"/>
              <w:rPr>
                <w:sz w:val="18"/>
                <w:szCs w:val="18"/>
                <w:color w:val="auto"/>
              </w:rPr>
            </w:pPr>
          </w:p>
        </w:tc>
        <w:tc>
          <w:tcPr>
            <w:tcW w:w="3880" w:type="dxa"/>
            <w:vAlign w:val="bottom"/>
            <w:tcBorders>
              <w:bottom w:val="single" w:sz="8" w:color="auto"/>
              <w:right w:val="single" w:sz="8" w:color="auto"/>
            </w:tcBorders>
          </w:tcPr>
          <w:p>
            <w:pPr>
              <w:jc w:val="center"/>
              <w:ind w:right="819"/>
              <w:spacing w:after="0"/>
              <w:rPr>
                <w:sz w:val="20"/>
                <w:szCs w:val="20"/>
                <w:color w:val="auto"/>
              </w:rPr>
            </w:pPr>
            <w:r>
              <w:rPr>
                <w:rFonts w:ascii="Times New Roman" w:cs="Times New Roman" w:eastAsia="Times New Roman" w:hAnsi="Times New Roman"/>
                <w:sz w:val="16"/>
                <w:szCs w:val="16"/>
                <w:color w:val="auto"/>
                <w:w w:val="99"/>
              </w:rPr>
              <w:t>New York Stock Exchange</w:t>
            </w:r>
          </w:p>
        </w:tc>
      </w:tr>
    </w:tbl>
    <w:p>
      <w:pPr>
        <w:spacing w:after="0" w:line="310" w:lineRule="exact"/>
        <w:rPr>
          <w:sz w:val="24"/>
          <w:szCs w:val="24"/>
          <w:color w:val="auto"/>
        </w:rPr>
      </w:pPr>
    </w:p>
    <w:p>
      <w:pPr>
        <w:jc w:val="both"/>
        <w:ind w:right="20" w:firstLine="202"/>
        <w:spacing w:after="0" w:line="196"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183" w:lineRule="exact"/>
        <w:rPr>
          <w:sz w:val="24"/>
          <w:szCs w:val="24"/>
          <w:color w:val="auto"/>
        </w:rPr>
      </w:pPr>
    </w:p>
    <w:p>
      <w:pPr>
        <w:jc w:val="both"/>
        <w:ind w:right="20" w:firstLine="202"/>
        <w:spacing w:after="0" w:line="206"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183" w:lineRule="exact"/>
        <w:rPr>
          <w:sz w:val="24"/>
          <w:szCs w:val="24"/>
          <w:color w:val="auto"/>
        </w:rPr>
      </w:pPr>
    </w:p>
    <w:p>
      <w:pPr>
        <w:ind w:right="80" w:firstLine="202"/>
        <w:spacing w:after="0" w:line="251" w:lineRule="auto"/>
        <w:rPr>
          <w:sz w:val="20"/>
          <w:szCs w:val="20"/>
          <w:color w:val="auto"/>
        </w:rPr>
      </w:pPr>
      <w:r>
        <w:rPr>
          <w:rFonts w:ascii="Times New Roman" w:cs="Times New Roman" w:eastAsia="Times New Roman" w:hAnsi="Times New Roman"/>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w:t>
      </w:r>
    </w:p>
    <w:p>
      <w:pPr>
        <w:sectPr>
          <w:pgSz w:w="11900" w:h="16838" w:orient="portrait"/>
          <w:cols w:equalWidth="0" w:num="1">
            <w:col w:w="11260"/>
          </w:cols>
          <w:pgMar w:left="320" w:top="225" w:right="319" w:bottom="1440" w:gutter="0" w:footer="0" w:header="0"/>
        </w:sectPr>
      </w:pPr>
    </w:p>
    <w:p>
      <w:pPr>
        <w:spacing w:after="0" w:line="1" w:lineRule="exact"/>
        <w:rPr>
          <w:sz w:val="24"/>
          <w:szCs w:val="24"/>
          <w:color w:val="auto"/>
        </w:rPr>
      </w:pPr>
    </w:p>
    <w:p>
      <w:pPr>
        <w:jc w:val="right"/>
        <w:ind w:right="5100"/>
        <w:spacing w:after="0" w:line="184" w:lineRule="exact"/>
        <w:tabs>
          <w:tab w:leader="none" w:pos="5220" w:val="left"/>
        </w:tabs>
        <w:rPr>
          <w:sz w:val="20"/>
          <w:szCs w:val="20"/>
          <w:color w:val="auto"/>
        </w:rPr>
      </w:pPr>
      <w:r>
        <w:rPr>
          <w:rFonts w:ascii="Times New Roman" w:cs="Times New Roman" w:eastAsia="Times New Roman" w:hAnsi="Times New Roman"/>
          <w:sz w:val="16"/>
          <w:szCs w:val="16"/>
          <w:color w:val="auto"/>
        </w:rPr>
        <w:t>Large accelerated filer</w:t>
      </w:r>
      <w:r>
        <w:rPr>
          <w:sz w:val="20"/>
          <w:szCs w:val="20"/>
          <w:color w:val="auto"/>
        </w:rPr>
        <w:tab/>
      </w:r>
      <w:r>
        <w:rPr>
          <w:rFonts w:ascii="MS PGothic" w:cs="MS PGothic" w:eastAsia="MS PGothic" w:hAnsi="MS PGothic"/>
          <w:sz w:val="14"/>
          <w:szCs w:val="14"/>
          <w:color w:val="auto"/>
        </w:rPr>
        <w:t>☑</w:t>
      </w:r>
    </w:p>
    <w:p>
      <w:pPr>
        <w:spacing w:after="0" w:line="63" w:lineRule="exact"/>
        <w:rPr>
          <w:sz w:val="24"/>
          <w:szCs w:val="24"/>
          <w:color w:val="auto"/>
        </w:rPr>
      </w:pPr>
    </w:p>
    <w:p>
      <w:pPr>
        <w:jc w:val="right"/>
        <w:ind w:right="5100"/>
        <w:spacing w:after="0" w:line="184" w:lineRule="exact"/>
        <w:tabs>
          <w:tab w:leader="none" w:pos="5220" w:val="left"/>
        </w:tabs>
        <w:rPr>
          <w:sz w:val="20"/>
          <w:szCs w:val="20"/>
          <w:color w:val="auto"/>
        </w:rPr>
      </w:pPr>
      <w:r>
        <w:rPr>
          <w:rFonts w:ascii="Times New Roman" w:cs="Times New Roman" w:eastAsia="Times New Roman" w:hAnsi="Times New Roman"/>
          <w:sz w:val="16"/>
          <w:szCs w:val="16"/>
          <w:color w:val="auto"/>
        </w:rPr>
        <w:t>Non-accelerated filer</w:t>
      </w:r>
      <w:r>
        <w:rPr>
          <w:sz w:val="20"/>
          <w:szCs w:val="20"/>
          <w:color w:val="auto"/>
        </w:rPr>
        <w:tab/>
      </w:r>
      <w:r>
        <w:rPr>
          <w:rFonts w:ascii="MS PGothic" w:cs="MS PGothic" w:eastAsia="MS PGothic" w:hAnsi="MS PGothic"/>
          <w:sz w:val="14"/>
          <w:szCs w:val="14"/>
          <w:color w:val="auto"/>
        </w:rPr>
        <w:t>☐</w:t>
      </w:r>
    </w:p>
    <w:p>
      <w:pPr>
        <w:spacing w:after="0" w:line="115"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Act:</w:t>
      </w:r>
    </w:p>
    <w:p>
      <w:pPr>
        <w:spacing w:after="0" w:line="20" w:lineRule="exact"/>
        <w:rPr>
          <w:sz w:val="24"/>
          <w:szCs w:val="24"/>
          <w:color w:val="auto"/>
        </w:rPr>
      </w:pPr>
      <w:r>
        <w:rPr>
          <w:sz w:val="24"/>
          <w:szCs w:val="24"/>
          <w:color w:val="auto"/>
        </w:rPr>
        <w:br w:type="column"/>
      </w:r>
    </w:p>
    <w:p>
      <w:pPr>
        <w:spacing w:after="0" w:line="165" w:lineRule="exact"/>
        <w:tabs>
          <w:tab w:leader="none" w:pos="2180" w:val="left"/>
        </w:tabs>
        <w:rPr>
          <w:sz w:val="20"/>
          <w:szCs w:val="20"/>
          <w:color w:val="auto"/>
        </w:rPr>
      </w:pPr>
      <w:r>
        <w:rPr>
          <w:rFonts w:ascii="Times New Roman" w:cs="Times New Roman" w:eastAsia="Times New Roman" w:hAnsi="Times New Roman"/>
          <w:sz w:val="16"/>
          <w:szCs w:val="16"/>
          <w:color w:val="auto"/>
        </w:rPr>
        <w:t>Accelerated filer</w:t>
      </w:r>
      <w:r>
        <w:rPr>
          <w:sz w:val="20"/>
          <w:szCs w:val="20"/>
          <w:color w:val="auto"/>
        </w:rPr>
        <w:tab/>
      </w:r>
      <w:r>
        <w:rPr>
          <w:rFonts w:ascii="MS PGothic" w:cs="MS PGothic" w:eastAsia="MS PGothic" w:hAnsi="MS PGothic"/>
          <w:sz w:val="14"/>
          <w:szCs w:val="14"/>
          <w:color w:val="auto"/>
        </w:rPr>
        <w:t>☐</w:t>
      </w:r>
    </w:p>
    <w:p>
      <w:pPr>
        <w:spacing w:after="0" w:line="63" w:lineRule="exact"/>
        <w:rPr>
          <w:sz w:val="24"/>
          <w:szCs w:val="24"/>
          <w:color w:val="auto"/>
        </w:rPr>
      </w:pPr>
    </w:p>
    <w:p>
      <w:pPr>
        <w:spacing w:after="0" w:line="184" w:lineRule="exact"/>
        <w:tabs>
          <w:tab w:leader="none" w:pos="2180" w:val="left"/>
        </w:tabs>
        <w:rPr>
          <w:sz w:val="20"/>
          <w:szCs w:val="20"/>
          <w:color w:val="auto"/>
        </w:rPr>
      </w:pPr>
      <w:r>
        <w:rPr>
          <w:rFonts w:ascii="Times New Roman" w:cs="Times New Roman" w:eastAsia="Times New Roman" w:hAnsi="Times New Roman"/>
          <w:sz w:val="16"/>
          <w:szCs w:val="16"/>
          <w:color w:val="auto"/>
        </w:rPr>
        <w:t>Smaller reporting company</w:t>
      </w:r>
      <w:r>
        <w:rPr>
          <w:sz w:val="20"/>
          <w:szCs w:val="20"/>
          <w:color w:val="auto"/>
        </w:rPr>
        <w:tab/>
      </w:r>
      <w:r>
        <w:rPr>
          <w:rFonts w:ascii="MS PGothic" w:cs="MS PGothic" w:eastAsia="MS PGothic" w:hAnsi="MS PGothic"/>
          <w:sz w:val="14"/>
          <w:szCs w:val="14"/>
          <w:color w:val="auto"/>
        </w:rPr>
        <w:t>☐</w:t>
      </w:r>
    </w:p>
    <w:p>
      <w:pPr>
        <w:spacing w:after="0" w:line="32" w:lineRule="exact"/>
        <w:rPr>
          <w:sz w:val="24"/>
          <w:szCs w:val="24"/>
          <w:color w:val="auto"/>
        </w:rPr>
      </w:pPr>
    </w:p>
    <w:p>
      <w:pPr>
        <w:spacing w:after="0" w:line="184" w:lineRule="exact"/>
        <w:tabs>
          <w:tab w:leader="none" w:pos="2180" w:val="left"/>
        </w:tabs>
        <w:rPr>
          <w:sz w:val="20"/>
          <w:szCs w:val="20"/>
          <w:color w:val="auto"/>
        </w:rPr>
      </w:pPr>
      <w:r>
        <w:rPr>
          <w:rFonts w:ascii="Times New Roman" w:cs="Times New Roman" w:eastAsia="Times New Roman" w:hAnsi="Times New Roman"/>
          <w:sz w:val="16"/>
          <w:szCs w:val="16"/>
          <w:color w:val="auto"/>
        </w:rPr>
        <w:t>Emerging growth company</w:t>
      </w:r>
      <w:r>
        <w:rPr>
          <w:sz w:val="20"/>
          <w:szCs w:val="20"/>
          <w:color w:val="auto"/>
        </w:rPr>
        <w:tab/>
      </w:r>
      <w:r>
        <w:rPr>
          <w:rFonts w:ascii="MS PGothic" w:cs="MS PGothic" w:eastAsia="MS PGothic" w:hAnsi="MS PGothic"/>
          <w:sz w:val="14"/>
          <w:szCs w:val="14"/>
          <w:color w:val="auto"/>
        </w:rPr>
        <w:t>☐</w:t>
      </w:r>
    </w:p>
    <w:p>
      <w:pPr>
        <w:spacing w:after="0" w:line="92" w:lineRule="exact"/>
        <w:rPr>
          <w:sz w:val="24"/>
          <w:szCs w:val="24"/>
          <w:color w:val="auto"/>
        </w:rPr>
      </w:pPr>
    </w:p>
    <w:p>
      <w:pPr>
        <w:sectPr>
          <w:pgSz w:w="11900" w:h="16838" w:orient="portrait"/>
          <w:cols w:equalWidth="0" w:num="2">
            <w:col w:w="7340" w:space="720"/>
            <w:col w:w="3200"/>
          </w:cols>
          <w:pgMar w:left="320" w:top="225" w:right="319" w:bottom="1440" w:gutter="0" w:footer="0" w:header="0"/>
          <w:type w:val="continuous"/>
        </w:sectPr>
      </w:pPr>
    </w:p>
    <w:p>
      <w:pPr>
        <w:ind w:right="20" w:firstLine="162"/>
        <w:spacing w:after="0" w:line="197"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148" w:lineRule="exact"/>
        <w:rPr>
          <w:sz w:val="24"/>
          <w:szCs w:val="24"/>
          <w:color w:val="auto"/>
        </w:rPr>
      </w:pPr>
    </w:p>
    <w:p>
      <w:pPr>
        <w:ind w:left="220"/>
        <w:spacing w:after="0" w:line="184"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is a shell company (as defined in Rule 12b-2 of the Exchange Act).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271" w:lineRule="exact"/>
        <w:rPr>
          <w:sz w:val="24"/>
          <w:szCs w:val="24"/>
          <w:color w:val="auto"/>
        </w:rPr>
      </w:pPr>
    </w:p>
    <w:p>
      <w:pPr>
        <w:ind w:right="20" w:firstLine="202"/>
        <w:spacing w:after="0" w:line="263" w:lineRule="auto"/>
        <w:rPr>
          <w:sz w:val="20"/>
          <w:szCs w:val="20"/>
          <w:color w:val="auto"/>
        </w:rPr>
      </w:pPr>
      <w:r>
        <w:rPr>
          <w:rFonts w:ascii="Times New Roman" w:cs="Times New Roman" w:eastAsia="Times New Roman" w:hAnsi="Times New Roman"/>
          <w:sz w:val="16"/>
          <w:szCs w:val="16"/>
          <w:color w:val="auto"/>
        </w:rPr>
        <w:t>The number of outstanding shares of the registrant’s Class A common stock, par value $0.01 per share, Class B common stock, par value $0.01 per share, and Class C common stock, par value $0.01 per share, as of April 30, 2026 were 70,993,257, 1,147,029 and 8,917,476, respectively.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451485</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60"/>
          </w:cols>
          <w:pgMar w:left="320" w:top="225" w:right="31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tbl>
      <w:tblPr>
        <w:tblLayout w:type="fixed"/>
        <w:tblInd w:w="20" w:type="dxa"/>
        <w:tblCellMar>
          <w:top w:w="0" w:type="dxa"/>
          <w:left w:w="0" w:type="dxa"/>
          <w:bottom w:w="0" w:type="dxa"/>
          <w:right w:w="0" w:type="dxa"/>
        </w:tblCellMar>
      </w:tblPr>
      <w:tr>
        <w:trPr>
          <w:trHeight w:val="212"/>
        </w:trPr>
        <w:tc>
          <w:tcPr>
            <w:tcW w:w="9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4620" w:type="dxa"/>
            <w:vAlign w:val="bottom"/>
            <w:gridSpan w:val="8"/>
          </w:tcPr>
          <w:p>
            <w:pPr>
              <w:ind w:left="260"/>
              <w:spacing w:after="0"/>
              <w:rPr>
                <w:sz w:val="20"/>
                <w:szCs w:val="20"/>
                <w:color w:val="auto"/>
              </w:rPr>
            </w:pPr>
            <w:r>
              <w:rPr>
                <w:rFonts w:ascii="Times New Roman" w:cs="Times New Roman" w:eastAsia="Times New Roman" w:hAnsi="Times New Roman"/>
                <w:sz w:val="16"/>
                <w:szCs w:val="16"/>
                <w:b w:val="1"/>
                <w:bCs w:val="1"/>
                <w:color w:val="auto"/>
              </w:rPr>
              <w:t>TABLE OF CONTENTS</w:t>
            </w:r>
          </w:p>
        </w:tc>
        <w:tc>
          <w:tcPr>
            <w:tcW w:w="1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29"/>
        </w:trPr>
        <w:tc>
          <w:tcPr>
            <w:tcW w:w="9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100" w:type="dxa"/>
            <w:vAlign w:val="bottom"/>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Page</w:t>
            </w:r>
          </w:p>
        </w:tc>
      </w:tr>
      <w:tr>
        <w:trPr>
          <w:trHeight w:val="216"/>
        </w:trPr>
        <w:tc>
          <w:tcPr>
            <w:tcW w:w="940" w:type="dxa"/>
            <w:vAlign w:val="bottom"/>
          </w:tcPr>
          <w:p>
            <w:pPr>
              <w:spacing w:after="0"/>
              <w:rPr>
                <w:sz w:val="20"/>
                <w:szCs w:val="20"/>
                <w:color w:val="auto"/>
              </w:rPr>
            </w:pPr>
            <w:r>
              <w:rPr>
                <w:rFonts w:ascii="Times New Roman" w:cs="Times New Roman" w:eastAsia="Times New Roman" w:hAnsi="Times New Roman"/>
                <w:sz w:val="16"/>
                <w:szCs w:val="16"/>
                <w:color w:val="auto"/>
              </w:rPr>
              <w:t>Part I</w:t>
            </w: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9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Item 1.</w:t>
            </w:r>
          </w:p>
        </w:tc>
        <w:tc>
          <w:tcPr>
            <w:tcW w:w="8160" w:type="dxa"/>
            <w:vAlign w:val="bottom"/>
            <w:gridSpan w:val="16"/>
          </w:tcPr>
          <w:p>
            <w:pPr>
              <w:spacing w:after="0"/>
              <w:rPr>
                <w:sz w:val="20"/>
                <w:szCs w:val="20"/>
                <w:color w:val="auto"/>
              </w:rPr>
            </w:pPr>
            <w:r>
              <w:rPr>
                <w:rFonts w:ascii="Times New Roman" w:cs="Times New Roman" w:eastAsia="Times New Roman" w:hAnsi="Times New Roman"/>
                <w:sz w:val="16"/>
                <w:szCs w:val="16"/>
                <w:color w:val="auto"/>
              </w:rPr>
              <w:t>Unaudited Consolidated Financial Statements</w:t>
            </w:r>
          </w:p>
        </w:tc>
        <w:tc>
          <w:tcPr>
            <w:tcW w:w="1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181"/>
        </w:trPr>
        <w:tc>
          <w:tcPr>
            <w:tcW w:w="940" w:type="dxa"/>
            <w:vAlign w:val="bottom"/>
          </w:tcPr>
          <w:p>
            <w:pPr>
              <w:spacing w:after="0"/>
              <w:rPr>
                <w:sz w:val="15"/>
                <w:szCs w:val="15"/>
                <w:color w:val="auto"/>
              </w:rPr>
            </w:pPr>
          </w:p>
        </w:tc>
        <w:tc>
          <w:tcPr>
            <w:tcW w:w="7600" w:type="dxa"/>
            <w:vAlign w:val="bottom"/>
            <w:tcBorders>
              <w:bottom w:val="single" w:sz="8" w:color="0000FF"/>
            </w:tcBorders>
            <w:gridSpan w:val="15"/>
          </w:tcPr>
          <w:p>
            <w:pPr>
              <w:spacing w:after="0" w:line="181" w:lineRule="exact"/>
              <w:rPr>
                <w:sz w:val="20"/>
                <w:szCs w:val="20"/>
                <w:color w:val="auto"/>
              </w:rPr>
            </w:pPr>
            <w:r>
              <w:rPr>
                <w:rFonts w:ascii="Times New Roman" w:cs="Times New Roman" w:eastAsia="Times New Roman" w:hAnsi="Times New Roman"/>
                <w:sz w:val="16"/>
                <w:szCs w:val="16"/>
                <w:color w:val="0000FF"/>
              </w:rPr>
              <w:t>Unaudited Condensed Consolidated Statements of Financial Condition as of March 31, 2026 and December 31, 2025</w:t>
            </w:r>
          </w:p>
        </w:tc>
        <w:tc>
          <w:tcPr>
            <w:tcW w:w="560" w:type="dxa"/>
            <w:vAlign w:val="bottom"/>
          </w:tcPr>
          <w:p>
            <w:pPr>
              <w:spacing w:after="0"/>
              <w:rPr>
                <w:sz w:val="15"/>
                <w:szCs w:val="15"/>
                <w:color w:val="auto"/>
              </w:rPr>
            </w:pPr>
          </w:p>
        </w:tc>
        <w:tc>
          <w:tcPr>
            <w:tcW w:w="2020" w:type="dxa"/>
            <w:vAlign w:val="bottom"/>
            <w:gridSpan w:val="2"/>
          </w:tcPr>
          <w:p>
            <w:pPr>
              <w:spacing w:after="0"/>
              <w:rPr>
                <w:sz w:val="15"/>
                <w:szCs w:val="15"/>
                <w:color w:val="auto"/>
              </w:rPr>
            </w:pPr>
          </w:p>
        </w:tc>
        <w:tc>
          <w:tcPr>
            <w:tcW w:w="80" w:type="dxa"/>
            <w:vAlign w:val="bottom"/>
            <w:tcBorders>
              <w:bottom w:val="single" w:sz="8" w:color="0000FF"/>
            </w:tcBorders>
          </w:tcPr>
          <w:p>
            <w:pPr>
              <w:jc w:val="right"/>
              <w:spacing w:after="0" w:line="181" w:lineRule="exact"/>
              <w:rPr>
                <w:sz w:val="20"/>
                <w:szCs w:val="20"/>
                <w:color w:val="auto"/>
              </w:rPr>
            </w:pPr>
            <w:r>
              <w:rPr>
                <w:rFonts w:ascii="Times New Roman" w:cs="Times New Roman" w:eastAsia="Times New Roman" w:hAnsi="Times New Roman"/>
                <w:sz w:val="16"/>
                <w:szCs w:val="16"/>
                <w:color w:val="0000FF"/>
                <w:w w:val="74"/>
              </w:rPr>
              <w:t>1</w:t>
            </w:r>
          </w:p>
        </w:tc>
      </w:tr>
      <w:tr>
        <w:trPr>
          <w:trHeight w:val="196"/>
        </w:trPr>
        <w:tc>
          <w:tcPr>
            <w:tcW w:w="940" w:type="dxa"/>
            <w:vAlign w:val="bottom"/>
          </w:tcPr>
          <w:p>
            <w:pPr>
              <w:spacing w:after="0"/>
              <w:rPr>
                <w:sz w:val="17"/>
                <w:szCs w:val="17"/>
                <w:color w:val="auto"/>
              </w:rPr>
            </w:pPr>
          </w:p>
        </w:tc>
        <w:tc>
          <w:tcPr>
            <w:tcW w:w="6740" w:type="dxa"/>
            <w:vAlign w:val="bottom"/>
            <w:tcBorders>
              <w:bottom w:val="single" w:sz="8" w:color="0000FF"/>
            </w:tcBorders>
            <w:gridSpan w:val="12"/>
          </w:tcPr>
          <w:p>
            <w:pPr>
              <w:spacing w:after="0"/>
              <w:rPr>
                <w:sz w:val="20"/>
                <w:szCs w:val="20"/>
                <w:color w:val="auto"/>
              </w:rPr>
            </w:pPr>
            <w:r>
              <w:rPr>
                <w:rFonts w:ascii="Times New Roman" w:cs="Times New Roman" w:eastAsia="Times New Roman" w:hAnsi="Times New Roman"/>
                <w:sz w:val="16"/>
                <w:szCs w:val="16"/>
                <w:color w:val="0000FF"/>
              </w:rPr>
              <w:t>Unaudited Consolidated Statements of Operations for the three months ended March 31, 2026 and 2025</w:t>
            </w:r>
          </w:p>
        </w:tc>
        <w:tc>
          <w:tcPr>
            <w:tcW w:w="1420" w:type="dxa"/>
            <w:vAlign w:val="bottom"/>
            <w:gridSpan w:val="4"/>
          </w:tcPr>
          <w:p>
            <w:pPr>
              <w:spacing w:after="0"/>
              <w:rPr>
                <w:sz w:val="17"/>
                <w:szCs w:val="17"/>
                <w:color w:val="auto"/>
              </w:rPr>
            </w:pPr>
          </w:p>
        </w:tc>
        <w:tc>
          <w:tcPr>
            <w:tcW w:w="2020" w:type="dxa"/>
            <w:vAlign w:val="bottom"/>
            <w:gridSpan w:val="2"/>
          </w:tcPr>
          <w:p>
            <w:pPr>
              <w:spacing w:after="0"/>
              <w:rPr>
                <w:sz w:val="17"/>
                <w:szCs w:val="17"/>
                <w:color w:val="auto"/>
              </w:rPr>
            </w:pPr>
          </w:p>
        </w:tc>
        <w:tc>
          <w:tcPr>
            <w:tcW w:w="80" w:type="dxa"/>
            <w:vAlign w:val="bottom"/>
            <w:tcBorders>
              <w:bottom w:val="single" w:sz="8" w:color="0000FF"/>
            </w:tcBorders>
          </w:tcPr>
          <w:p>
            <w:pPr>
              <w:jc w:val="right"/>
              <w:spacing w:after="0"/>
              <w:rPr>
                <w:sz w:val="20"/>
                <w:szCs w:val="20"/>
                <w:color w:val="auto"/>
              </w:rPr>
            </w:pPr>
            <w:r>
              <w:rPr>
                <w:rFonts w:ascii="Times New Roman" w:cs="Times New Roman" w:eastAsia="Times New Roman" w:hAnsi="Times New Roman"/>
                <w:sz w:val="16"/>
                <w:szCs w:val="16"/>
                <w:color w:val="0000FF"/>
                <w:w w:val="74"/>
              </w:rPr>
              <w:t>2</w:t>
            </w:r>
          </w:p>
        </w:tc>
      </w:tr>
      <w:tr>
        <w:trPr>
          <w:trHeight w:val="196"/>
        </w:trPr>
        <w:tc>
          <w:tcPr>
            <w:tcW w:w="940" w:type="dxa"/>
            <w:vAlign w:val="bottom"/>
          </w:tcPr>
          <w:p>
            <w:pPr>
              <w:spacing w:after="0"/>
              <w:rPr>
                <w:sz w:val="17"/>
                <w:szCs w:val="17"/>
                <w:color w:val="auto"/>
              </w:rPr>
            </w:pPr>
          </w:p>
        </w:tc>
        <w:tc>
          <w:tcPr>
            <w:tcW w:w="8160" w:type="dxa"/>
            <w:vAlign w:val="bottom"/>
            <w:gridSpan w:val="16"/>
          </w:tcPr>
          <w:p>
            <w:pPr>
              <w:spacing w:after="0"/>
              <w:rPr>
                <w:sz w:val="20"/>
                <w:szCs w:val="20"/>
                <w:color w:val="auto"/>
              </w:rPr>
            </w:pPr>
            <w:r>
              <w:rPr>
                <w:rFonts w:ascii="Times New Roman" w:cs="Times New Roman" w:eastAsia="Times New Roman" w:hAnsi="Times New Roman"/>
                <w:sz w:val="16"/>
                <w:szCs w:val="16"/>
                <w:color w:val="0000FF"/>
              </w:rPr>
              <w:t>Unaudited Consolidated Statements of Comprehensive Income for the three months ended March 31, 2026 and 2025</w:t>
            </w:r>
          </w:p>
        </w:tc>
        <w:tc>
          <w:tcPr>
            <w:tcW w:w="210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0000FF"/>
              </w:rPr>
              <w:t>3</w:t>
            </w:r>
          </w:p>
        </w:tc>
      </w:tr>
      <w:tr>
        <w:trPr>
          <w:trHeight w:val="20"/>
        </w:trPr>
        <w:tc>
          <w:tcPr>
            <w:tcW w:w="940" w:type="dxa"/>
            <w:vAlign w:val="bottom"/>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146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880" w:type="dxa"/>
            <w:vAlign w:val="bottom"/>
            <w:shd w:val="clear" w:color="auto" w:fill="0000FF"/>
          </w:tcPr>
          <w:p>
            <w:pPr>
              <w:spacing w:after="0" w:line="20" w:lineRule="exact"/>
              <w:rPr>
                <w:sz w:val="1"/>
                <w:szCs w:val="1"/>
                <w:color w:val="auto"/>
              </w:rPr>
            </w:pPr>
          </w:p>
        </w:tc>
        <w:tc>
          <w:tcPr>
            <w:tcW w:w="9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r>
        <w:trPr>
          <w:trHeight w:val="196"/>
        </w:trPr>
        <w:tc>
          <w:tcPr>
            <w:tcW w:w="940" w:type="dxa"/>
            <w:vAlign w:val="bottom"/>
          </w:tcPr>
          <w:p>
            <w:pPr>
              <w:spacing w:after="0"/>
              <w:rPr>
                <w:sz w:val="17"/>
                <w:szCs w:val="17"/>
                <w:color w:val="auto"/>
              </w:rPr>
            </w:pPr>
          </w:p>
        </w:tc>
        <w:tc>
          <w:tcPr>
            <w:tcW w:w="8160" w:type="dxa"/>
            <w:vAlign w:val="bottom"/>
            <w:tcBorders>
              <w:bottom w:val="single" w:sz="8" w:color="0000FF"/>
            </w:tcBorders>
            <w:gridSpan w:val="16"/>
          </w:tcPr>
          <w:p>
            <w:pPr>
              <w:spacing w:after="0"/>
              <w:rPr>
                <w:sz w:val="20"/>
                <w:szCs w:val="20"/>
                <w:color w:val="auto"/>
              </w:rPr>
            </w:pPr>
            <w:r>
              <w:rPr>
                <w:rFonts w:ascii="Times New Roman" w:cs="Times New Roman" w:eastAsia="Times New Roman" w:hAnsi="Times New Roman"/>
                <w:sz w:val="16"/>
                <w:szCs w:val="16"/>
                <w:color w:val="0000FF"/>
              </w:rPr>
              <w:t>Unaudited Consolidated Statements of Changes in Stockholders’ Equity for the three months ended March 31, 2026 and 2025</w:t>
            </w:r>
          </w:p>
        </w:tc>
        <w:tc>
          <w:tcPr>
            <w:tcW w:w="2020" w:type="dxa"/>
            <w:vAlign w:val="bottom"/>
            <w:gridSpan w:val="2"/>
          </w:tcPr>
          <w:p>
            <w:pPr>
              <w:spacing w:after="0"/>
              <w:rPr>
                <w:sz w:val="17"/>
                <w:szCs w:val="17"/>
                <w:color w:val="auto"/>
              </w:rPr>
            </w:pPr>
          </w:p>
        </w:tc>
        <w:tc>
          <w:tcPr>
            <w:tcW w:w="80" w:type="dxa"/>
            <w:vAlign w:val="bottom"/>
            <w:tcBorders>
              <w:bottom w:val="single" w:sz="8" w:color="0000FF"/>
            </w:tcBorders>
          </w:tcPr>
          <w:p>
            <w:pPr>
              <w:jc w:val="right"/>
              <w:spacing w:after="0"/>
              <w:rPr>
                <w:sz w:val="20"/>
                <w:szCs w:val="20"/>
                <w:color w:val="auto"/>
              </w:rPr>
            </w:pPr>
            <w:r>
              <w:rPr>
                <w:rFonts w:ascii="Times New Roman" w:cs="Times New Roman" w:eastAsia="Times New Roman" w:hAnsi="Times New Roman"/>
                <w:sz w:val="16"/>
                <w:szCs w:val="16"/>
                <w:color w:val="0000FF"/>
                <w:w w:val="74"/>
              </w:rPr>
              <w:t>4</w:t>
            </w:r>
          </w:p>
        </w:tc>
      </w:tr>
      <w:tr>
        <w:trPr>
          <w:trHeight w:val="196"/>
        </w:trPr>
        <w:tc>
          <w:tcPr>
            <w:tcW w:w="940" w:type="dxa"/>
            <w:vAlign w:val="bottom"/>
          </w:tcPr>
          <w:p>
            <w:pPr>
              <w:spacing w:after="0"/>
              <w:rPr>
                <w:sz w:val="17"/>
                <w:szCs w:val="17"/>
                <w:color w:val="auto"/>
              </w:rPr>
            </w:pPr>
          </w:p>
        </w:tc>
        <w:tc>
          <w:tcPr>
            <w:tcW w:w="8160" w:type="dxa"/>
            <w:vAlign w:val="bottom"/>
            <w:gridSpan w:val="16"/>
          </w:tcPr>
          <w:p>
            <w:pPr>
              <w:spacing w:after="0"/>
              <w:rPr>
                <w:sz w:val="20"/>
                <w:szCs w:val="20"/>
                <w:color w:val="auto"/>
              </w:rPr>
            </w:pPr>
            <w:r>
              <w:rPr>
                <w:rFonts w:ascii="Times New Roman" w:cs="Times New Roman" w:eastAsia="Times New Roman" w:hAnsi="Times New Roman"/>
                <w:sz w:val="16"/>
                <w:szCs w:val="16"/>
                <w:color w:val="0000FF"/>
              </w:rPr>
              <w:t>Unaudited Consolidated Statements of Cash Flows for the three months ended March 31, 2026 and 2025</w:t>
            </w:r>
          </w:p>
        </w:tc>
        <w:tc>
          <w:tcPr>
            <w:tcW w:w="210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0000FF"/>
              </w:rPr>
              <w:t>5</w:t>
            </w:r>
          </w:p>
        </w:tc>
      </w:tr>
      <w:tr>
        <w:trPr>
          <w:trHeight w:val="196"/>
        </w:trPr>
        <w:tc>
          <w:tcPr>
            <w:tcW w:w="940" w:type="dxa"/>
            <w:vAlign w:val="bottom"/>
          </w:tcPr>
          <w:p>
            <w:pPr>
              <w:spacing w:after="0"/>
              <w:rPr>
                <w:sz w:val="17"/>
                <w:szCs w:val="17"/>
                <w:color w:val="auto"/>
              </w:rPr>
            </w:pPr>
          </w:p>
        </w:tc>
        <w:tc>
          <w:tcPr>
            <w:tcW w:w="6780" w:type="dxa"/>
            <w:vAlign w:val="bottom"/>
            <w:tcBorders>
              <w:top w:val="single" w:sz="8" w:color="0000FF"/>
            </w:tcBorders>
            <w:gridSpan w:val="13"/>
          </w:tcPr>
          <w:p>
            <w:pPr>
              <w:spacing w:after="0"/>
              <w:rPr>
                <w:sz w:val="20"/>
                <w:szCs w:val="20"/>
                <w:color w:val="auto"/>
              </w:rPr>
            </w:pPr>
            <w:r>
              <w:rPr>
                <w:rFonts w:ascii="Times New Roman" w:cs="Times New Roman" w:eastAsia="Times New Roman" w:hAnsi="Times New Roman"/>
                <w:sz w:val="16"/>
                <w:szCs w:val="16"/>
                <w:color w:val="0000FF"/>
              </w:rPr>
              <w:t>Notes to Unaudited Consolidated Financial Statements</w:t>
            </w:r>
          </w:p>
        </w:tc>
        <w:tc>
          <w:tcPr>
            <w:tcW w:w="1380" w:type="dxa"/>
            <w:vAlign w:val="bottom"/>
            <w:gridSpan w:val="3"/>
          </w:tcPr>
          <w:p>
            <w:pPr>
              <w:spacing w:after="0"/>
              <w:rPr>
                <w:sz w:val="17"/>
                <w:szCs w:val="17"/>
                <w:color w:val="auto"/>
              </w:rPr>
            </w:pPr>
          </w:p>
        </w:tc>
        <w:tc>
          <w:tcPr>
            <w:tcW w:w="2020" w:type="dxa"/>
            <w:vAlign w:val="bottom"/>
            <w:gridSpan w:val="2"/>
          </w:tcPr>
          <w:p>
            <w:pPr>
              <w:spacing w:after="0"/>
              <w:rPr>
                <w:sz w:val="17"/>
                <w:szCs w:val="17"/>
                <w:color w:val="auto"/>
              </w:rPr>
            </w:pPr>
          </w:p>
        </w:tc>
        <w:tc>
          <w:tcPr>
            <w:tcW w:w="80" w:type="dxa"/>
            <w:vAlign w:val="bottom"/>
            <w:tcBorders>
              <w:top w:val="single" w:sz="8" w:color="0000FF"/>
            </w:tcBorders>
          </w:tcPr>
          <w:p>
            <w:pPr>
              <w:jc w:val="right"/>
              <w:spacing w:after="0"/>
              <w:rPr>
                <w:sz w:val="20"/>
                <w:szCs w:val="20"/>
                <w:color w:val="auto"/>
              </w:rPr>
            </w:pPr>
            <w:r>
              <w:rPr>
                <w:rFonts w:ascii="Times New Roman" w:cs="Times New Roman" w:eastAsia="Times New Roman" w:hAnsi="Times New Roman"/>
                <w:sz w:val="16"/>
                <w:szCs w:val="16"/>
                <w:color w:val="0000FF"/>
                <w:w w:val="74"/>
              </w:rPr>
              <w:t>6</w:t>
            </w:r>
          </w:p>
        </w:tc>
      </w:tr>
      <w:tr>
        <w:trPr>
          <w:trHeight w:val="20"/>
        </w:trPr>
        <w:tc>
          <w:tcPr>
            <w:tcW w:w="940" w:type="dxa"/>
            <w:vAlign w:val="bottom"/>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1460" w:type="dxa"/>
            <w:vAlign w:val="bottom"/>
            <w:shd w:val="clear" w:color="auto" w:fill="0000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2340" w:type="dxa"/>
            <w:vAlign w:val="bottom"/>
            <w:gridSpan w:val="5"/>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r>
        <w:trPr>
          <w:trHeight w:val="196"/>
        </w:trPr>
        <w:tc>
          <w:tcPr>
            <w:tcW w:w="9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Item 2.</w:t>
            </w:r>
          </w:p>
        </w:tc>
        <w:tc>
          <w:tcPr>
            <w:tcW w:w="5820" w:type="dxa"/>
            <w:vAlign w:val="bottom"/>
            <w:tcBorders>
              <w:bottom w:val="single" w:sz="8" w:color="0000FF"/>
            </w:tcBorders>
            <w:gridSpan w:val="11"/>
          </w:tcPr>
          <w:p>
            <w:pPr>
              <w:spacing w:after="0"/>
              <w:rPr>
                <w:sz w:val="20"/>
                <w:szCs w:val="20"/>
                <w:color w:val="auto"/>
              </w:rPr>
            </w:pPr>
            <w:r>
              <w:rPr>
                <w:rFonts w:ascii="Times New Roman" w:cs="Times New Roman" w:eastAsia="Times New Roman" w:hAnsi="Times New Roman"/>
                <w:sz w:val="16"/>
                <w:szCs w:val="16"/>
                <w:color w:val="0000FF"/>
              </w:rPr>
              <w:t>Management’s Discussion and Analysis of Financial Condition and Results of Operations</w:t>
            </w:r>
          </w:p>
        </w:tc>
        <w:tc>
          <w:tcPr>
            <w:tcW w:w="2340" w:type="dxa"/>
            <w:vAlign w:val="bottom"/>
            <w:gridSpan w:val="5"/>
          </w:tcPr>
          <w:p>
            <w:pPr>
              <w:spacing w:after="0"/>
              <w:rPr>
                <w:sz w:val="17"/>
                <w:szCs w:val="17"/>
                <w:color w:val="auto"/>
              </w:rPr>
            </w:pPr>
          </w:p>
        </w:tc>
        <w:tc>
          <w:tcPr>
            <w:tcW w:w="1940" w:type="dxa"/>
            <w:vAlign w:val="bottom"/>
          </w:tcPr>
          <w:p>
            <w:pPr>
              <w:spacing w:after="0"/>
              <w:rPr>
                <w:sz w:val="17"/>
                <w:szCs w:val="17"/>
                <w:color w:val="auto"/>
              </w:rPr>
            </w:pPr>
          </w:p>
        </w:tc>
        <w:tc>
          <w:tcPr>
            <w:tcW w:w="16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6"/>
                <w:szCs w:val="16"/>
                <w:color w:val="0000FF"/>
                <w:w w:val="87"/>
              </w:rPr>
              <w:t>22</w:t>
            </w:r>
          </w:p>
        </w:tc>
      </w:tr>
      <w:tr>
        <w:trPr>
          <w:trHeight w:val="196"/>
        </w:trPr>
        <w:tc>
          <w:tcPr>
            <w:tcW w:w="9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Item 3.</w:t>
            </w:r>
          </w:p>
        </w:tc>
        <w:tc>
          <w:tcPr>
            <w:tcW w:w="3940" w:type="dxa"/>
            <w:vAlign w:val="bottom"/>
            <w:tcBorders>
              <w:bottom w:val="single" w:sz="8" w:color="0000FF"/>
            </w:tcBorders>
            <w:gridSpan w:val="10"/>
          </w:tcPr>
          <w:p>
            <w:pPr>
              <w:spacing w:after="0"/>
              <w:rPr>
                <w:sz w:val="20"/>
                <w:szCs w:val="20"/>
                <w:color w:val="auto"/>
              </w:rPr>
            </w:pPr>
            <w:r>
              <w:rPr>
                <w:rFonts w:ascii="Times New Roman" w:cs="Times New Roman" w:eastAsia="Times New Roman" w:hAnsi="Times New Roman"/>
                <w:sz w:val="16"/>
                <w:szCs w:val="16"/>
                <w:color w:val="0000FF"/>
              </w:rPr>
              <w:t>Quantitative and Qualitative Disclosures About Market Risk</w:t>
            </w:r>
          </w:p>
        </w:tc>
        <w:tc>
          <w:tcPr>
            <w:tcW w:w="4220" w:type="dxa"/>
            <w:vAlign w:val="bottom"/>
            <w:gridSpan w:val="6"/>
          </w:tcPr>
          <w:p>
            <w:pPr>
              <w:spacing w:after="0"/>
              <w:rPr>
                <w:sz w:val="17"/>
                <w:szCs w:val="17"/>
                <w:color w:val="auto"/>
              </w:rPr>
            </w:pPr>
          </w:p>
        </w:tc>
        <w:tc>
          <w:tcPr>
            <w:tcW w:w="1940" w:type="dxa"/>
            <w:vAlign w:val="bottom"/>
          </w:tcPr>
          <w:p>
            <w:pPr>
              <w:spacing w:after="0"/>
              <w:rPr>
                <w:sz w:val="17"/>
                <w:szCs w:val="17"/>
                <w:color w:val="auto"/>
              </w:rPr>
            </w:pPr>
          </w:p>
        </w:tc>
        <w:tc>
          <w:tcPr>
            <w:tcW w:w="16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6"/>
                <w:szCs w:val="16"/>
                <w:color w:val="0000FF"/>
                <w:w w:val="87"/>
              </w:rPr>
              <w:t>39</w:t>
            </w:r>
          </w:p>
        </w:tc>
      </w:tr>
      <w:tr>
        <w:trPr>
          <w:trHeight w:val="196"/>
        </w:trPr>
        <w:tc>
          <w:tcPr>
            <w:tcW w:w="9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Item 4.</w:t>
            </w:r>
          </w:p>
        </w:tc>
        <w:tc>
          <w:tcPr>
            <w:tcW w:w="1600" w:type="dxa"/>
            <w:vAlign w:val="bottom"/>
            <w:tcBorders>
              <w:bottom w:val="single" w:sz="8" w:color="0000FF"/>
            </w:tcBorders>
            <w:gridSpan w:val="6"/>
          </w:tcPr>
          <w:p>
            <w:pPr>
              <w:spacing w:after="0"/>
              <w:rPr>
                <w:sz w:val="20"/>
                <w:szCs w:val="20"/>
                <w:color w:val="auto"/>
              </w:rPr>
            </w:pPr>
            <w:r>
              <w:rPr>
                <w:rFonts w:ascii="Times New Roman" w:cs="Times New Roman" w:eastAsia="Times New Roman" w:hAnsi="Times New Roman"/>
                <w:sz w:val="16"/>
                <w:szCs w:val="16"/>
                <w:color w:val="0000FF"/>
              </w:rPr>
              <w:t>Controls and Procedures</w:t>
            </w:r>
          </w:p>
        </w:tc>
        <w:tc>
          <w:tcPr>
            <w:tcW w:w="6560" w:type="dxa"/>
            <w:vAlign w:val="bottom"/>
            <w:gridSpan w:val="10"/>
          </w:tcPr>
          <w:p>
            <w:pPr>
              <w:spacing w:after="0"/>
              <w:rPr>
                <w:sz w:val="17"/>
                <w:szCs w:val="17"/>
                <w:color w:val="auto"/>
              </w:rPr>
            </w:pPr>
          </w:p>
        </w:tc>
        <w:tc>
          <w:tcPr>
            <w:tcW w:w="1940" w:type="dxa"/>
            <w:vAlign w:val="bottom"/>
          </w:tcPr>
          <w:p>
            <w:pPr>
              <w:spacing w:after="0"/>
              <w:rPr>
                <w:sz w:val="17"/>
                <w:szCs w:val="17"/>
                <w:color w:val="auto"/>
              </w:rPr>
            </w:pPr>
          </w:p>
        </w:tc>
        <w:tc>
          <w:tcPr>
            <w:tcW w:w="16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6"/>
                <w:szCs w:val="16"/>
                <w:color w:val="0000FF"/>
                <w:w w:val="87"/>
              </w:rPr>
              <w:t>39</w:t>
            </w:r>
          </w:p>
        </w:tc>
      </w:tr>
      <w:tr>
        <w:trPr>
          <w:trHeight w:val="231"/>
        </w:trPr>
        <w:tc>
          <w:tcPr>
            <w:tcW w:w="940" w:type="dxa"/>
            <w:vAlign w:val="bottom"/>
          </w:tcPr>
          <w:p>
            <w:pPr>
              <w:spacing w:after="0"/>
              <w:rPr>
                <w:sz w:val="20"/>
                <w:szCs w:val="20"/>
                <w:color w:val="auto"/>
              </w:rPr>
            </w:pPr>
            <w:r>
              <w:rPr>
                <w:rFonts w:ascii="Times New Roman" w:cs="Times New Roman" w:eastAsia="Times New Roman" w:hAnsi="Times New Roman"/>
                <w:sz w:val="16"/>
                <w:szCs w:val="16"/>
                <w:color w:val="auto"/>
              </w:rPr>
              <w:t>Part II</w:t>
            </w:r>
          </w:p>
        </w:tc>
        <w:tc>
          <w:tcPr>
            <w:tcW w:w="8160" w:type="dxa"/>
            <w:vAlign w:val="bottom"/>
            <w:gridSpan w:val="16"/>
          </w:tcPr>
          <w:p>
            <w:pPr>
              <w:spacing w:after="0"/>
              <w:rPr>
                <w:sz w:val="20"/>
                <w:szCs w:val="20"/>
                <w:color w:val="auto"/>
              </w:rPr>
            </w:pPr>
            <w:r>
              <w:rPr>
                <w:rFonts w:ascii="Times New Roman" w:cs="Times New Roman" w:eastAsia="Times New Roman" w:hAnsi="Times New Roman"/>
                <w:sz w:val="16"/>
                <w:szCs w:val="16"/>
                <w:color w:val="auto"/>
              </w:rPr>
              <w:t>Other Information</w:t>
            </w:r>
          </w:p>
        </w:tc>
        <w:tc>
          <w:tcPr>
            <w:tcW w:w="19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181"/>
        </w:trPr>
        <w:tc>
          <w:tcPr>
            <w:tcW w:w="940" w:type="dxa"/>
            <w:vAlign w:val="bottom"/>
          </w:tcPr>
          <w:p>
            <w:pPr>
              <w:jc w:val="center"/>
              <w:spacing w:after="0" w:line="181" w:lineRule="exact"/>
              <w:rPr>
                <w:sz w:val="20"/>
                <w:szCs w:val="20"/>
                <w:color w:val="auto"/>
              </w:rPr>
            </w:pPr>
            <w:r>
              <w:rPr>
                <w:rFonts w:ascii="Times New Roman" w:cs="Times New Roman" w:eastAsia="Times New Roman" w:hAnsi="Times New Roman"/>
                <w:sz w:val="16"/>
                <w:szCs w:val="16"/>
                <w:color w:val="auto"/>
              </w:rPr>
              <w:t>Item 1.</w:t>
            </w:r>
          </w:p>
        </w:tc>
        <w:tc>
          <w:tcPr>
            <w:tcW w:w="1200" w:type="dxa"/>
            <w:vAlign w:val="bottom"/>
            <w:tcBorders>
              <w:bottom w:val="single" w:sz="8" w:color="0000FF"/>
            </w:tcBorders>
            <w:gridSpan w:val="5"/>
          </w:tcPr>
          <w:p>
            <w:pPr>
              <w:spacing w:after="0" w:line="181" w:lineRule="exact"/>
              <w:rPr>
                <w:sz w:val="20"/>
                <w:szCs w:val="20"/>
                <w:color w:val="auto"/>
              </w:rPr>
            </w:pPr>
            <w:r>
              <w:rPr>
                <w:rFonts w:ascii="Times New Roman" w:cs="Times New Roman" w:eastAsia="Times New Roman" w:hAnsi="Times New Roman"/>
                <w:sz w:val="16"/>
                <w:szCs w:val="16"/>
                <w:color w:val="0000FF"/>
                <w:w w:val="99"/>
              </w:rPr>
              <w:t>Legal Proceedings</w:t>
            </w:r>
          </w:p>
        </w:tc>
        <w:tc>
          <w:tcPr>
            <w:tcW w:w="6960" w:type="dxa"/>
            <w:vAlign w:val="bottom"/>
            <w:gridSpan w:val="11"/>
          </w:tcPr>
          <w:p>
            <w:pPr>
              <w:spacing w:after="0"/>
              <w:rPr>
                <w:sz w:val="15"/>
                <w:szCs w:val="15"/>
                <w:color w:val="auto"/>
              </w:rPr>
            </w:pPr>
          </w:p>
        </w:tc>
        <w:tc>
          <w:tcPr>
            <w:tcW w:w="1940" w:type="dxa"/>
            <w:vAlign w:val="bottom"/>
          </w:tcPr>
          <w:p>
            <w:pPr>
              <w:spacing w:after="0"/>
              <w:rPr>
                <w:sz w:val="15"/>
                <w:szCs w:val="15"/>
                <w:color w:val="auto"/>
              </w:rPr>
            </w:pPr>
          </w:p>
        </w:tc>
        <w:tc>
          <w:tcPr>
            <w:tcW w:w="160" w:type="dxa"/>
            <w:vAlign w:val="bottom"/>
            <w:tcBorders>
              <w:bottom w:val="single" w:sz="8" w:color="0000FF"/>
            </w:tcBorders>
            <w:gridSpan w:val="2"/>
          </w:tcPr>
          <w:p>
            <w:pPr>
              <w:jc w:val="right"/>
              <w:spacing w:after="0" w:line="181" w:lineRule="exact"/>
              <w:rPr>
                <w:sz w:val="20"/>
                <w:szCs w:val="20"/>
                <w:color w:val="auto"/>
              </w:rPr>
            </w:pPr>
            <w:r>
              <w:rPr>
                <w:rFonts w:ascii="Times New Roman" w:cs="Times New Roman" w:eastAsia="Times New Roman" w:hAnsi="Times New Roman"/>
                <w:sz w:val="16"/>
                <w:szCs w:val="16"/>
                <w:color w:val="0000FF"/>
                <w:w w:val="87"/>
              </w:rPr>
              <w:t>40</w:t>
            </w:r>
          </w:p>
        </w:tc>
      </w:tr>
      <w:tr>
        <w:trPr>
          <w:trHeight w:val="196"/>
        </w:trPr>
        <w:tc>
          <w:tcPr>
            <w:tcW w:w="9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Item 1A.</w:t>
            </w:r>
          </w:p>
        </w:tc>
        <w:tc>
          <w:tcPr>
            <w:tcW w:w="820" w:type="dxa"/>
            <w:vAlign w:val="bottom"/>
            <w:tcBorders>
              <w:bottom w:val="single" w:sz="8" w:color="0000FF"/>
            </w:tcBorders>
            <w:gridSpan w:val="3"/>
          </w:tcPr>
          <w:p>
            <w:pPr>
              <w:spacing w:after="0"/>
              <w:rPr>
                <w:sz w:val="20"/>
                <w:szCs w:val="20"/>
                <w:color w:val="auto"/>
              </w:rPr>
            </w:pPr>
            <w:r>
              <w:rPr>
                <w:rFonts w:ascii="Times New Roman" w:cs="Times New Roman" w:eastAsia="Times New Roman" w:hAnsi="Times New Roman"/>
                <w:sz w:val="16"/>
                <w:szCs w:val="16"/>
                <w:color w:val="0000FF"/>
                <w:w w:val="99"/>
              </w:rPr>
              <w:t>Risk Factors</w:t>
            </w:r>
          </w:p>
        </w:tc>
        <w:tc>
          <w:tcPr>
            <w:tcW w:w="7340" w:type="dxa"/>
            <w:vAlign w:val="bottom"/>
            <w:gridSpan w:val="13"/>
          </w:tcPr>
          <w:p>
            <w:pPr>
              <w:spacing w:after="0"/>
              <w:rPr>
                <w:sz w:val="17"/>
                <w:szCs w:val="17"/>
                <w:color w:val="auto"/>
              </w:rPr>
            </w:pPr>
          </w:p>
        </w:tc>
        <w:tc>
          <w:tcPr>
            <w:tcW w:w="1940" w:type="dxa"/>
            <w:vAlign w:val="bottom"/>
          </w:tcPr>
          <w:p>
            <w:pPr>
              <w:spacing w:after="0"/>
              <w:rPr>
                <w:sz w:val="17"/>
                <w:szCs w:val="17"/>
                <w:color w:val="auto"/>
              </w:rPr>
            </w:pPr>
          </w:p>
        </w:tc>
        <w:tc>
          <w:tcPr>
            <w:tcW w:w="16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6"/>
                <w:szCs w:val="16"/>
                <w:color w:val="0000FF"/>
                <w:w w:val="87"/>
              </w:rPr>
              <w:t>40</w:t>
            </w:r>
          </w:p>
        </w:tc>
      </w:tr>
      <w:tr>
        <w:trPr>
          <w:trHeight w:val="196"/>
        </w:trPr>
        <w:tc>
          <w:tcPr>
            <w:tcW w:w="9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Item 2.</w:t>
            </w:r>
          </w:p>
        </w:tc>
        <w:tc>
          <w:tcPr>
            <w:tcW w:w="3920" w:type="dxa"/>
            <w:vAlign w:val="bottom"/>
            <w:tcBorders>
              <w:bottom w:val="single" w:sz="8" w:color="0000FF"/>
            </w:tcBorders>
            <w:gridSpan w:val="9"/>
          </w:tcPr>
          <w:p>
            <w:pPr>
              <w:spacing w:after="0"/>
              <w:rPr>
                <w:sz w:val="20"/>
                <w:szCs w:val="20"/>
                <w:color w:val="auto"/>
              </w:rPr>
            </w:pPr>
            <w:r>
              <w:rPr>
                <w:rFonts w:ascii="Times New Roman" w:cs="Times New Roman" w:eastAsia="Times New Roman" w:hAnsi="Times New Roman"/>
                <w:sz w:val="16"/>
                <w:szCs w:val="16"/>
                <w:color w:val="0000FF"/>
              </w:rPr>
              <w:t>Unregistered Sales of Equity Securities and Use of Proceeds</w:t>
            </w:r>
          </w:p>
        </w:tc>
        <w:tc>
          <w:tcPr>
            <w:tcW w:w="4240" w:type="dxa"/>
            <w:vAlign w:val="bottom"/>
            <w:gridSpan w:val="7"/>
          </w:tcPr>
          <w:p>
            <w:pPr>
              <w:spacing w:after="0"/>
              <w:rPr>
                <w:sz w:val="17"/>
                <w:szCs w:val="17"/>
                <w:color w:val="auto"/>
              </w:rPr>
            </w:pPr>
          </w:p>
        </w:tc>
        <w:tc>
          <w:tcPr>
            <w:tcW w:w="1940" w:type="dxa"/>
            <w:vAlign w:val="bottom"/>
          </w:tcPr>
          <w:p>
            <w:pPr>
              <w:spacing w:after="0"/>
              <w:rPr>
                <w:sz w:val="17"/>
                <w:szCs w:val="17"/>
                <w:color w:val="auto"/>
              </w:rPr>
            </w:pPr>
          </w:p>
        </w:tc>
        <w:tc>
          <w:tcPr>
            <w:tcW w:w="16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6"/>
                <w:szCs w:val="16"/>
                <w:color w:val="0000FF"/>
                <w:w w:val="87"/>
              </w:rPr>
              <w:t>40</w:t>
            </w:r>
          </w:p>
        </w:tc>
      </w:tr>
      <w:tr>
        <w:trPr>
          <w:trHeight w:val="196"/>
        </w:trPr>
        <w:tc>
          <w:tcPr>
            <w:tcW w:w="9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Item 3.</w:t>
            </w:r>
          </w:p>
        </w:tc>
        <w:tc>
          <w:tcPr>
            <w:tcW w:w="8160" w:type="dxa"/>
            <w:vAlign w:val="bottom"/>
            <w:gridSpan w:val="16"/>
          </w:tcPr>
          <w:p>
            <w:pPr>
              <w:spacing w:after="0"/>
              <w:rPr>
                <w:sz w:val="20"/>
                <w:szCs w:val="20"/>
                <w:color w:val="auto"/>
              </w:rPr>
            </w:pPr>
            <w:r>
              <w:rPr>
                <w:rFonts w:ascii="Times New Roman" w:cs="Times New Roman" w:eastAsia="Times New Roman" w:hAnsi="Times New Roman"/>
                <w:sz w:val="16"/>
                <w:szCs w:val="16"/>
                <w:color w:val="0000FF"/>
              </w:rPr>
              <w:t>Defaults Upon Senior Securities</w:t>
            </w:r>
          </w:p>
        </w:tc>
        <w:tc>
          <w:tcPr>
            <w:tcW w:w="210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0000FF"/>
              </w:rPr>
              <w:t>40</w:t>
            </w:r>
          </w:p>
        </w:tc>
      </w:tr>
      <w:tr>
        <w:trPr>
          <w:trHeight w:val="196"/>
        </w:trPr>
        <w:tc>
          <w:tcPr>
            <w:tcW w:w="9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Item 4.</w:t>
            </w:r>
          </w:p>
        </w:tc>
        <w:tc>
          <w:tcPr>
            <w:tcW w:w="1600" w:type="dxa"/>
            <w:vAlign w:val="bottom"/>
            <w:tcBorders>
              <w:top w:val="single" w:sz="8" w:color="0000FF"/>
              <w:bottom w:val="single" w:sz="8" w:color="0000FF"/>
            </w:tcBorders>
            <w:gridSpan w:val="6"/>
          </w:tcPr>
          <w:p>
            <w:pPr>
              <w:spacing w:after="0"/>
              <w:rPr>
                <w:sz w:val="20"/>
                <w:szCs w:val="20"/>
                <w:color w:val="auto"/>
              </w:rPr>
            </w:pPr>
            <w:r>
              <w:rPr>
                <w:rFonts w:ascii="Times New Roman" w:cs="Times New Roman" w:eastAsia="Times New Roman" w:hAnsi="Times New Roman"/>
                <w:sz w:val="16"/>
                <w:szCs w:val="16"/>
                <w:color w:val="0000FF"/>
              </w:rPr>
              <w:t>Mine Safety Disclosures</w:t>
            </w:r>
          </w:p>
        </w:tc>
        <w:tc>
          <w:tcPr>
            <w:tcW w:w="480" w:type="dxa"/>
            <w:vAlign w:val="bottom"/>
            <w:tcBorders>
              <w:top w:val="single" w:sz="8" w:color="0000FF"/>
            </w:tcBorders>
          </w:tcPr>
          <w:p>
            <w:pPr>
              <w:spacing w:after="0"/>
              <w:rPr>
                <w:sz w:val="17"/>
                <w:szCs w:val="17"/>
                <w:color w:val="auto"/>
              </w:rPr>
            </w:pPr>
          </w:p>
        </w:tc>
        <w:tc>
          <w:tcPr>
            <w:tcW w:w="6080" w:type="dxa"/>
            <w:vAlign w:val="bottom"/>
            <w:gridSpan w:val="9"/>
          </w:tcPr>
          <w:p>
            <w:pPr>
              <w:spacing w:after="0"/>
              <w:rPr>
                <w:sz w:val="17"/>
                <w:szCs w:val="17"/>
                <w:color w:val="auto"/>
              </w:rPr>
            </w:pPr>
          </w:p>
        </w:tc>
        <w:tc>
          <w:tcPr>
            <w:tcW w:w="1940" w:type="dxa"/>
            <w:vAlign w:val="bottom"/>
          </w:tcPr>
          <w:p>
            <w:pPr>
              <w:spacing w:after="0"/>
              <w:rPr>
                <w:sz w:val="17"/>
                <w:szCs w:val="17"/>
                <w:color w:val="auto"/>
              </w:rPr>
            </w:pPr>
          </w:p>
        </w:tc>
        <w:tc>
          <w:tcPr>
            <w:tcW w:w="160" w:type="dxa"/>
            <w:vAlign w:val="bottom"/>
            <w:tcBorders>
              <w:top w:val="single" w:sz="8" w:color="0000FF"/>
              <w:bottom w:val="single" w:sz="8" w:color="0000FF"/>
            </w:tcBorders>
            <w:gridSpan w:val="2"/>
          </w:tcPr>
          <w:p>
            <w:pPr>
              <w:jc w:val="right"/>
              <w:spacing w:after="0"/>
              <w:rPr>
                <w:sz w:val="20"/>
                <w:szCs w:val="20"/>
                <w:color w:val="auto"/>
              </w:rPr>
            </w:pPr>
            <w:r>
              <w:rPr>
                <w:rFonts w:ascii="Times New Roman" w:cs="Times New Roman" w:eastAsia="Times New Roman" w:hAnsi="Times New Roman"/>
                <w:sz w:val="16"/>
                <w:szCs w:val="16"/>
                <w:color w:val="0000FF"/>
                <w:w w:val="87"/>
              </w:rPr>
              <w:t>40</w:t>
            </w:r>
          </w:p>
        </w:tc>
      </w:tr>
      <w:tr>
        <w:trPr>
          <w:trHeight w:val="196"/>
        </w:trPr>
        <w:tc>
          <w:tcPr>
            <w:tcW w:w="9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Item 5.</w:t>
            </w:r>
          </w:p>
        </w:tc>
        <w:tc>
          <w:tcPr>
            <w:tcW w:w="8160" w:type="dxa"/>
            <w:vAlign w:val="bottom"/>
            <w:gridSpan w:val="16"/>
          </w:tcPr>
          <w:p>
            <w:pPr>
              <w:spacing w:after="0"/>
              <w:rPr>
                <w:sz w:val="20"/>
                <w:szCs w:val="20"/>
                <w:color w:val="auto"/>
              </w:rPr>
            </w:pPr>
            <w:r>
              <w:rPr>
                <w:rFonts w:ascii="Times New Roman" w:cs="Times New Roman" w:eastAsia="Times New Roman" w:hAnsi="Times New Roman"/>
                <w:sz w:val="16"/>
                <w:szCs w:val="16"/>
                <w:color w:val="0000FF"/>
              </w:rPr>
              <w:t>Other Information</w:t>
            </w:r>
          </w:p>
        </w:tc>
        <w:tc>
          <w:tcPr>
            <w:tcW w:w="210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0000FF"/>
              </w:rPr>
              <w:t>40</w:t>
            </w:r>
          </w:p>
        </w:tc>
      </w:tr>
      <w:tr>
        <w:trPr>
          <w:trHeight w:val="196"/>
        </w:trPr>
        <w:tc>
          <w:tcPr>
            <w:tcW w:w="9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Item 6.</w:t>
            </w:r>
          </w:p>
        </w:tc>
        <w:tc>
          <w:tcPr>
            <w:tcW w:w="540" w:type="dxa"/>
            <w:vAlign w:val="bottom"/>
            <w:tcBorders>
              <w:top w:val="single" w:sz="8" w:color="0000FF"/>
              <w:bottom w:val="single" w:sz="8" w:color="0000FF"/>
            </w:tcBorders>
          </w:tcPr>
          <w:p>
            <w:pPr>
              <w:spacing w:after="0"/>
              <w:rPr>
                <w:sz w:val="20"/>
                <w:szCs w:val="20"/>
                <w:color w:val="auto"/>
              </w:rPr>
            </w:pPr>
            <w:r>
              <w:rPr>
                <w:rFonts w:ascii="Times New Roman" w:cs="Times New Roman" w:eastAsia="Times New Roman" w:hAnsi="Times New Roman"/>
                <w:sz w:val="16"/>
                <w:szCs w:val="16"/>
                <w:color w:val="0000FF"/>
                <w:w w:val="97"/>
              </w:rPr>
              <w:t>Exhibits</w:t>
            </w:r>
          </w:p>
        </w:tc>
        <w:tc>
          <w:tcPr>
            <w:tcW w:w="640" w:type="dxa"/>
            <w:vAlign w:val="bottom"/>
            <w:tcBorders>
              <w:top w:val="single" w:sz="8" w:color="0000FF"/>
            </w:tcBorders>
            <w:gridSpan w:val="3"/>
          </w:tcPr>
          <w:p>
            <w:pPr>
              <w:spacing w:after="0"/>
              <w:rPr>
                <w:sz w:val="17"/>
                <w:szCs w:val="17"/>
                <w:color w:val="auto"/>
              </w:rPr>
            </w:pPr>
          </w:p>
        </w:tc>
        <w:tc>
          <w:tcPr>
            <w:tcW w:w="6980" w:type="dxa"/>
            <w:vAlign w:val="bottom"/>
            <w:gridSpan w:val="12"/>
          </w:tcPr>
          <w:p>
            <w:pPr>
              <w:spacing w:after="0"/>
              <w:rPr>
                <w:sz w:val="17"/>
                <w:szCs w:val="17"/>
                <w:color w:val="auto"/>
              </w:rPr>
            </w:pPr>
          </w:p>
        </w:tc>
        <w:tc>
          <w:tcPr>
            <w:tcW w:w="1940" w:type="dxa"/>
            <w:vAlign w:val="bottom"/>
          </w:tcPr>
          <w:p>
            <w:pPr>
              <w:spacing w:after="0"/>
              <w:rPr>
                <w:sz w:val="17"/>
                <w:szCs w:val="17"/>
                <w:color w:val="auto"/>
              </w:rPr>
            </w:pPr>
          </w:p>
        </w:tc>
        <w:tc>
          <w:tcPr>
            <w:tcW w:w="160" w:type="dxa"/>
            <w:vAlign w:val="bottom"/>
            <w:tcBorders>
              <w:top w:val="single" w:sz="8" w:color="0000FF"/>
              <w:bottom w:val="single" w:sz="8" w:color="0000FF"/>
            </w:tcBorders>
            <w:gridSpan w:val="2"/>
          </w:tcPr>
          <w:p>
            <w:pPr>
              <w:jc w:val="right"/>
              <w:spacing w:after="0"/>
              <w:rPr>
                <w:sz w:val="20"/>
                <w:szCs w:val="20"/>
                <w:color w:val="auto"/>
              </w:rPr>
            </w:pPr>
            <w:r>
              <w:rPr>
                <w:rFonts w:ascii="Times New Roman" w:cs="Times New Roman" w:eastAsia="Times New Roman" w:hAnsi="Times New Roman"/>
                <w:sz w:val="16"/>
                <w:szCs w:val="16"/>
                <w:color w:val="0000FF"/>
                <w:w w:val="87"/>
              </w:rPr>
              <w:t>41</w:t>
            </w:r>
          </w:p>
        </w:tc>
      </w:tr>
      <w:tr>
        <w:trPr>
          <w:trHeight w:val="196"/>
        </w:trPr>
        <w:tc>
          <w:tcPr>
            <w:tcW w:w="940" w:type="dxa"/>
            <w:vAlign w:val="bottom"/>
          </w:tcPr>
          <w:p>
            <w:pPr>
              <w:spacing w:after="0"/>
              <w:rPr>
                <w:sz w:val="17"/>
                <w:szCs w:val="17"/>
                <w:color w:val="auto"/>
              </w:rPr>
            </w:pPr>
          </w:p>
        </w:tc>
        <w:tc>
          <w:tcPr>
            <w:tcW w:w="8160" w:type="dxa"/>
            <w:vAlign w:val="bottom"/>
            <w:gridSpan w:val="16"/>
          </w:tcPr>
          <w:p>
            <w:pPr>
              <w:spacing w:after="0"/>
              <w:rPr>
                <w:sz w:val="20"/>
                <w:szCs w:val="20"/>
                <w:color w:val="auto"/>
              </w:rPr>
            </w:pPr>
            <w:r>
              <w:rPr>
                <w:rFonts w:ascii="Times New Roman" w:cs="Times New Roman" w:eastAsia="Times New Roman" w:hAnsi="Times New Roman"/>
                <w:sz w:val="16"/>
                <w:szCs w:val="16"/>
                <w:color w:val="0000FF"/>
              </w:rPr>
              <w:t>Signatures</w:t>
            </w:r>
          </w:p>
        </w:tc>
        <w:tc>
          <w:tcPr>
            <w:tcW w:w="210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0000FF"/>
              </w:rPr>
              <w:t>42</w:t>
            </w:r>
          </w:p>
        </w:tc>
      </w:tr>
      <w:tr>
        <w:trPr>
          <w:trHeight w:val="20"/>
        </w:trPr>
        <w:tc>
          <w:tcPr>
            <w:tcW w:w="940" w:type="dxa"/>
            <w:vAlign w:val="bottom"/>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bl>
    <w:p>
      <w:pPr>
        <w:spacing w:after="0" w:line="216" w:lineRule="exact"/>
        <w:rPr>
          <w:sz w:val="20"/>
          <w:szCs w:val="20"/>
          <w:color w:val="auto"/>
        </w:rPr>
      </w:pPr>
    </w:p>
    <w:p>
      <w:pPr>
        <w:jc w:val="both"/>
        <w:ind w:right="240"/>
        <w:spacing w:after="0" w:line="272" w:lineRule="auto"/>
        <w:rPr>
          <w:sz w:val="20"/>
          <w:szCs w:val="20"/>
          <w:color w:val="auto"/>
        </w:rPr>
      </w:pPr>
      <w:r>
        <w:rPr>
          <w:rFonts w:ascii="Times New Roman" w:cs="Times New Roman" w:eastAsia="Times New Roman" w:hAnsi="Times New Roman"/>
          <w:sz w:val="16"/>
          <w:szCs w:val="16"/>
          <w:color w:val="auto"/>
        </w:rPr>
        <w:t>Except where the context requires otherwise, in this report, references to the “Company”, “Artisan”, “we”, “us” or “our” refer to Artisan Partners Asset Management Inc. (“APAM”) and its direct and indirect subsidiaries, including Artisan Partners Holdings LP (“Holdings”). On March 12, 2013, APAM closed its initial public offering and related corporate reorganization. Prior to that date, APAM was a subsidiary of Artisan Partners Holdings.</w:t>
      </w:r>
    </w:p>
    <w:p>
      <w:pPr>
        <w:spacing w:after="0" w:line="5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Forward-Looking Statements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This report contains, and from time to time our management may make, forward-looking statements within the meaning of the safe harbor provisions of the U.S. Private</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Securities Litigation Reform Act of 1995. Statements regarding future events and our future performance, as well as management’s current expectations, beliefs, plans,</w:t>
      </w:r>
    </w:p>
    <w:p>
      <w:pPr>
        <w:spacing w:after="0"/>
        <w:rPr>
          <w:sz w:val="20"/>
          <w:szCs w:val="20"/>
          <w:color w:val="auto"/>
        </w:rPr>
      </w:pPr>
      <w:r>
        <w:rPr>
          <w:rFonts w:ascii="Times New Roman" w:cs="Times New Roman" w:eastAsia="Times New Roman" w:hAnsi="Times New Roman"/>
          <w:sz w:val="16"/>
          <w:szCs w:val="16"/>
          <w:color w:val="auto"/>
        </w:rPr>
        <w:t>estimates or projections relating to the future, are forward-looking statements within the meaning of these laws. In some cases, you can identify these statements by forward-</w:t>
      </w:r>
    </w:p>
    <w:p>
      <w:pPr>
        <w:spacing w:after="0" w:line="235" w:lineRule="auto"/>
        <w:rPr>
          <w:sz w:val="20"/>
          <w:szCs w:val="20"/>
          <w:color w:val="auto"/>
        </w:rPr>
      </w:pPr>
      <w:r>
        <w:rPr>
          <w:rFonts w:ascii="Times New Roman" w:cs="Times New Roman" w:eastAsia="Times New Roman" w:hAnsi="Times New Roman"/>
          <w:sz w:val="16"/>
          <w:szCs w:val="16"/>
          <w:color w:val="auto"/>
        </w:rPr>
        <w:t>looking words such as “may”, “might”, “will”, “should”, “expects”, “intends”, “plans”, “anticipates”, “believes”, “estimates”, “predicts”, “potential” or “continue”, the</w:t>
      </w:r>
    </w:p>
    <w:p>
      <w:pPr>
        <w:spacing w:after="0"/>
        <w:rPr>
          <w:sz w:val="20"/>
          <w:szCs w:val="20"/>
          <w:color w:val="auto"/>
        </w:rPr>
      </w:pPr>
      <w:r>
        <w:rPr>
          <w:rFonts w:ascii="Times New Roman" w:cs="Times New Roman" w:eastAsia="Times New Roman" w:hAnsi="Times New Roman"/>
          <w:sz w:val="16"/>
          <w:szCs w:val="16"/>
          <w:color w:val="auto"/>
        </w:rPr>
        <w:t>negative of these terms and other comparable terminology. Forward-looking statements are only predictions based on current expectations of our management and</w:t>
      </w:r>
    </w:p>
    <w:p>
      <w:pPr>
        <w:spacing w:after="0" w:line="235" w:lineRule="auto"/>
        <w:rPr>
          <w:sz w:val="20"/>
          <w:szCs w:val="20"/>
          <w:color w:val="auto"/>
        </w:rPr>
      </w:pPr>
      <w:r>
        <w:rPr>
          <w:rFonts w:ascii="Times New Roman" w:cs="Times New Roman" w:eastAsia="Times New Roman" w:hAnsi="Times New Roman"/>
          <w:sz w:val="16"/>
          <w:szCs w:val="16"/>
          <w:color w:val="auto"/>
        </w:rPr>
        <w:t>information available to us at the time such statements are made. Forward-looking statements are subject to a number of risks and uncertainties, and there are important</w:t>
      </w:r>
    </w:p>
    <w:p>
      <w:pPr>
        <w:spacing w:after="0"/>
        <w:rPr>
          <w:sz w:val="20"/>
          <w:szCs w:val="20"/>
          <w:color w:val="auto"/>
        </w:rPr>
      </w:pPr>
      <w:r>
        <w:rPr>
          <w:rFonts w:ascii="Times New Roman" w:cs="Times New Roman" w:eastAsia="Times New Roman" w:hAnsi="Times New Roman"/>
          <w:sz w:val="16"/>
          <w:szCs w:val="16"/>
          <w:color w:val="auto"/>
        </w:rPr>
        <w:t>factors that could cause actual results, level of activity, performance, actions or achievements to differ materially from the results, level of activity, performance, actions or</w:t>
      </w:r>
    </w:p>
    <w:p>
      <w:pPr>
        <w:spacing w:after="0" w:line="235" w:lineRule="auto"/>
        <w:rPr>
          <w:sz w:val="20"/>
          <w:szCs w:val="20"/>
          <w:color w:val="auto"/>
        </w:rPr>
      </w:pPr>
      <w:r>
        <w:rPr>
          <w:rFonts w:ascii="Times New Roman" w:cs="Times New Roman" w:eastAsia="Times New Roman" w:hAnsi="Times New Roman"/>
          <w:sz w:val="16"/>
          <w:szCs w:val="16"/>
          <w:color w:val="auto"/>
        </w:rPr>
        <w:t>achievements expressed or implied by the forward-looking statements. These factors include: the loss of key investment professionals or senior management, adverse market</w:t>
      </w:r>
    </w:p>
    <w:p>
      <w:pPr>
        <w:spacing w:after="0"/>
        <w:rPr>
          <w:sz w:val="20"/>
          <w:szCs w:val="20"/>
          <w:color w:val="auto"/>
        </w:rPr>
      </w:pPr>
      <w:r>
        <w:rPr>
          <w:rFonts w:ascii="Times New Roman" w:cs="Times New Roman" w:eastAsia="Times New Roman" w:hAnsi="Times New Roman"/>
          <w:sz w:val="16"/>
          <w:szCs w:val="16"/>
          <w:color w:val="auto"/>
        </w:rPr>
        <w:t>or economic conditions, poor performance of our investment strategies, significant changes in client cash inflows or outflows or declines in market value of the assets in the</w:t>
      </w:r>
    </w:p>
    <w:p>
      <w:pPr>
        <w:spacing w:after="0" w:line="235" w:lineRule="auto"/>
        <w:rPr>
          <w:sz w:val="20"/>
          <w:szCs w:val="20"/>
          <w:color w:val="auto"/>
        </w:rPr>
      </w:pPr>
      <w:r>
        <w:rPr>
          <w:rFonts w:ascii="Times New Roman" w:cs="Times New Roman" w:eastAsia="Times New Roman" w:hAnsi="Times New Roman"/>
          <w:sz w:val="16"/>
          <w:szCs w:val="16"/>
          <w:color w:val="auto"/>
        </w:rPr>
        <w:t>accounts we manage, change in the legislative and regulatory environment in which we operate, our ability to maintain our current fee rates, operational or technical errors</w:t>
      </w:r>
    </w:p>
    <w:p>
      <w:pPr>
        <w:spacing w:after="0" w:line="229" w:lineRule="auto"/>
        <w:rPr>
          <w:sz w:val="20"/>
          <w:szCs w:val="20"/>
          <w:color w:val="auto"/>
        </w:rPr>
      </w:pPr>
      <w:r>
        <w:rPr>
          <w:rFonts w:ascii="Times New Roman" w:cs="Times New Roman" w:eastAsia="Times New Roman" w:hAnsi="Times New Roman"/>
          <w:sz w:val="16"/>
          <w:szCs w:val="16"/>
          <w:color w:val="auto"/>
        </w:rPr>
        <w:t>or other damage to our reputation and other factors disclosed in the Company’s filings with the Securities and Exchange Commission, including those factors listed under</w:t>
      </w:r>
    </w:p>
    <w:p>
      <w:pPr>
        <w:spacing w:after="0"/>
        <w:rPr>
          <w:sz w:val="20"/>
          <w:szCs w:val="20"/>
          <w:color w:val="auto"/>
        </w:rPr>
      </w:pPr>
      <w:r>
        <w:rPr>
          <w:rFonts w:ascii="Times New Roman" w:cs="Times New Roman" w:eastAsia="Times New Roman" w:hAnsi="Times New Roman"/>
          <w:sz w:val="16"/>
          <w:szCs w:val="16"/>
          <w:color w:val="auto"/>
        </w:rPr>
        <w:t>the caption entitled “Risk Factors” in Item 1A of the Company’s Annual Report on Form 10-K for the fiscal year ended December 31, 2025, filed with the SEC on</w:t>
      </w:r>
    </w:p>
    <w:p>
      <w:pPr>
        <w:spacing w:after="0" w:line="235" w:lineRule="auto"/>
        <w:rPr>
          <w:sz w:val="20"/>
          <w:szCs w:val="20"/>
          <w:color w:val="auto"/>
        </w:rPr>
      </w:pPr>
      <w:r>
        <w:rPr>
          <w:rFonts w:ascii="Times New Roman" w:cs="Times New Roman" w:eastAsia="Times New Roman" w:hAnsi="Times New Roman"/>
          <w:sz w:val="16"/>
          <w:szCs w:val="16"/>
          <w:color w:val="auto"/>
        </w:rPr>
        <w:t>February 20, 2026, as such factors may be updated from time to time. Our periodic and current reports are accessible on the SEC’s website at www.sec.gov. We undertake no</w:t>
      </w:r>
    </w:p>
    <w:p>
      <w:pPr>
        <w:spacing w:after="0"/>
        <w:rPr>
          <w:sz w:val="20"/>
          <w:szCs w:val="20"/>
          <w:color w:val="auto"/>
        </w:rPr>
      </w:pPr>
      <w:r>
        <w:rPr>
          <w:rFonts w:ascii="Times New Roman" w:cs="Times New Roman" w:eastAsia="Times New Roman" w:hAnsi="Times New Roman"/>
          <w:sz w:val="16"/>
          <w:szCs w:val="16"/>
          <w:color w:val="auto"/>
        </w:rPr>
        <w:t>obligation to publicly update any forward-looking statements in order to reflect events or circumstances that may arise after the date of this report, except as required by law.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Forward-looking statements include, but are not limited to, statements about:</w:t>
      </w:r>
    </w:p>
    <w:p>
      <w:pPr>
        <w:spacing w:after="0" w:line="113" w:lineRule="exact"/>
        <w:rPr>
          <w:sz w:val="20"/>
          <w:szCs w:val="20"/>
          <w:color w:val="auto"/>
        </w:rPr>
      </w:pPr>
    </w:p>
    <w:p>
      <w:pPr>
        <w:ind w:left="640" w:hanging="308"/>
        <w:spacing w:after="0"/>
        <w:tabs>
          <w:tab w:leader="none" w:pos="640"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anticipated future results of operations;</w:t>
      </w:r>
    </w:p>
    <w:p>
      <w:pPr>
        <w:spacing w:after="0" w:line="26" w:lineRule="exact"/>
        <w:rPr>
          <w:rFonts w:ascii="Times New Roman" w:cs="Times New Roman" w:eastAsia="Times New Roman" w:hAnsi="Times New Roman"/>
          <w:sz w:val="16"/>
          <w:szCs w:val="16"/>
          <w:color w:val="auto"/>
        </w:rPr>
      </w:pPr>
    </w:p>
    <w:p>
      <w:pPr>
        <w:ind w:left="640" w:hanging="308"/>
        <w:spacing w:after="0"/>
        <w:tabs>
          <w:tab w:leader="none" w:pos="640"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potential operating performance and efficiency, including our ability to operate under different and unique circumstances;</w:t>
      </w:r>
    </w:p>
    <w:p>
      <w:pPr>
        <w:spacing w:after="0" w:line="15" w:lineRule="exact"/>
        <w:rPr>
          <w:rFonts w:ascii="Times New Roman" w:cs="Times New Roman" w:eastAsia="Times New Roman" w:hAnsi="Times New Roman"/>
          <w:sz w:val="16"/>
          <w:szCs w:val="16"/>
          <w:color w:val="auto"/>
        </w:rPr>
      </w:pPr>
    </w:p>
    <w:p>
      <w:pPr>
        <w:ind w:left="640" w:hanging="308"/>
        <w:spacing w:after="0"/>
        <w:tabs>
          <w:tab w:leader="none" w:pos="640"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expectations with respect to future business initiatives, including the development of new investment teams, strategies and vehicles;</w:t>
      </w:r>
    </w:p>
    <w:p>
      <w:pPr>
        <w:spacing w:after="0" w:line="8" w:lineRule="exact"/>
        <w:rPr>
          <w:rFonts w:ascii="Times New Roman" w:cs="Times New Roman" w:eastAsia="Times New Roman" w:hAnsi="Times New Roman"/>
          <w:sz w:val="16"/>
          <w:szCs w:val="16"/>
          <w:color w:val="auto"/>
        </w:rPr>
      </w:pPr>
    </w:p>
    <w:p>
      <w:pPr>
        <w:ind w:left="640" w:hanging="308"/>
        <w:spacing w:after="0"/>
        <w:tabs>
          <w:tab w:leader="none" w:pos="640"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expectations with respect to the performance of our investment strategies;</w:t>
      </w:r>
    </w:p>
    <w:p>
      <w:pPr>
        <w:spacing w:after="0" w:line="15" w:lineRule="exact"/>
        <w:rPr>
          <w:rFonts w:ascii="Times New Roman" w:cs="Times New Roman" w:eastAsia="Times New Roman" w:hAnsi="Times New Roman"/>
          <w:sz w:val="16"/>
          <w:szCs w:val="16"/>
          <w:color w:val="auto"/>
        </w:rPr>
      </w:pPr>
    </w:p>
    <w:p>
      <w:pPr>
        <w:ind w:left="640" w:hanging="308"/>
        <w:spacing w:after="0"/>
        <w:tabs>
          <w:tab w:leader="none" w:pos="640"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expectations with respect to future levels of AUM, including the capacity of our strategies and client cash inflows and outflows;</w:t>
      </w:r>
    </w:p>
    <w:p>
      <w:pPr>
        <w:spacing w:after="0" w:line="5" w:lineRule="exact"/>
        <w:rPr>
          <w:rFonts w:ascii="Times New Roman" w:cs="Times New Roman" w:eastAsia="Times New Roman" w:hAnsi="Times New Roman"/>
          <w:sz w:val="16"/>
          <w:szCs w:val="16"/>
          <w:color w:val="auto"/>
        </w:rPr>
      </w:pPr>
    </w:p>
    <w:p>
      <w:pPr>
        <w:ind w:left="640" w:hanging="308"/>
        <w:spacing w:after="0"/>
        <w:tabs>
          <w:tab w:leader="none" w:pos="640"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expectations with respect to industry trends and how those trends may impact our business;</w:t>
      </w:r>
    </w:p>
    <w:p>
      <w:pPr>
        <w:spacing w:after="0" w:line="8" w:lineRule="exact"/>
        <w:rPr>
          <w:rFonts w:ascii="Times New Roman" w:cs="Times New Roman" w:eastAsia="Times New Roman" w:hAnsi="Times New Roman"/>
          <w:sz w:val="16"/>
          <w:szCs w:val="16"/>
          <w:color w:val="auto"/>
        </w:rPr>
      </w:pPr>
    </w:p>
    <w:p>
      <w:pPr>
        <w:ind w:left="640" w:hanging="308"/>
        <w:spacing w:after="0"/>
        <w:tabs>
          <w:tab w:leader="none" w:pos="640"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financing plans, cash needs and liquidity position;</w:t>
      </w:r>
    </w:p>
    <w:p>
      <w:pPr>
        <w:spacing w:after="0" w:line="15" w:lineRule="exact"/>
        <w:rPr>
          <w:rFonts w:ascii="Times New Roman" w:cs="Times New Roman" w:eastAsia="Times New Roman" w:hAnsi="Times New Roman"/>
          <w:sz w:val="16"/>
          <w:szCs w:val="16"/>
          <w:color w:val="auto"/>
        </w:rPr>
      </w:pPr>
    </w:p>
    <w:p>
      <w:pPr>
        <w:ind w:left="640" w:hanging="308"/>
        <w:spacing w:after="0"/>
        <w:tabs>
          <w:tab w:leader="none" w:pos="640"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intention to pay dividends and our expectations about the amount of those dividends;</w:t>
      </w:r>
    </w:p>
    <w:p>
      <w:pPr>
        <w:spacing w:after="0" w:line="8" w:lineRule="exact"/>
        <w:rPr>
          <w:rFonts w:ascii="Times New Roman" w:cs="Times New Roman" w:eastAsia="Times New Roman" w:hAnsi="Times New Roman"/>
          <w:sz w:val="16"/>
          <w:szCs w:val="16"/>
          <w:color w:val="auto"/>
        </w:rPr>
      </w:pPr>
    </w:p>
    <w:p>
      <w:pPr>
        <w:ind w:left="640" w:hanging="308"/>
        <w:spacing w:after="0"/>
        <w:tabs>
          <w:tab w:leader="none" w:pos="640"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expected levels of compensation of our employees, including equity- and cash-based long-term incentive compensation;</w:t>
      </w:r>
    </w:p>
    <w:p>
      <w:pPr>
        <w:spacing w:after="0" w:line="15" w:lineRule="exact"/>
        <w:rPr>
          <w:rFonts w:ascii="Times New Roman" w:cs="Times New Roman" w:eastAsia="Times New Roman" w:hAnsi="Times New Roman"/>
          <w:sz w:val="16"/>
          <w:szCs w:val="16"/>
          <w:color w:val="auto"/>
        </w:rPr>
      </w:pPr>
    </w:p>
    <w:p>
      <w:pPr>
        <w:ind w:left="640" w:hanging="308"/>
        <w:spacing w:after="0"/>
        <w:tabs>
          <w:tab w:leader="none" w:pos="640"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expectations with respect to future expenses and the level of future expenses;</w:t>
      </w:r>
    </w:p>
    <w:p>
      <w:pPr>
        <w:spacing w:after="0" w:line="5" w:lineRule="exact"/>
        <w:rPr>
          <w:rFonts w:ascii="Times New Roman" w:cs="Times New Roman" w:eastAsia="Times New Roman" w:hAnsi="Times New Roman"/>
          <w:sz w:val="16"/>
          <w:szCs w:val="16"/>
          <w:color w:val="auto"/>
        </w:rPr>
      </w:pPr>
    </w:p>
    <w:p>
      <w:pPr>
        <w:ind w:left="640" w:hanging="308"/>
        <w:spacing w:after="0"/>
        <w:tabs>
          <w:tab w:leader="none" w:pos="640"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expected tax rate, and our expectations with respect to deferred tax assets; and</w:t>
      </w:r>
    </w:p>
    <w:p>
      <w:pPr>
        <w:spacing w:after="0" w:line="8" w:lineRule="exact"/>
        <w:rPr>
          <w:rFonts w:ascii="Times New Roman" w:cs="Times New Roman" w:eastAsia="Times New Roman" w:hAnsi="Times New Roman"/>
          <w:sz w:val="16"/>
          <w:szCs w:val="16"/>
          <w:color w:val="auto"/>
        </w:rPr>
      </w:pPr>
    </w:p>
    <w:p>
      <w:pPr>
        <w:ind w:left="640" w:hanging="308"/>
        <w:spacing w:after="0"/>
        <w:tabs>
          <w:tab w:leader="none" w:pos="640"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estimates of future amounts payable pursuant to our tax receivable agreements.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18" w:right="1440"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Part I — Financial Information</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Item 1. Unaudited Consolidated Financial Statements</w:t>
      </w: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ARTISAN PARTNERS ASSET MANAGEMENT INC.</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Unaudited Condensed Consolidated Statements of Financial Condition</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(U.S. dollars in thousands, except per share amounts)</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8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180" w:type="dxa"/>
            <w:vAlign w:val="bottom"/>
          </w:tcPr>
          <w:p>
            <w:pPr>
              <w:spacing w:after="0"/>
              <w:rPr>
                <w:sz w:val="17"/>
                <w:szCs w:val="17"/>
                <w:color w:val="auto"/>
              </w:rPr>
            </w:pPr>
          </w:p>
        </w:tc>
        <w:tc>
          <w:tcPr>
            <w:tcW w:w="1340" w:type="dxa"/>
            <w:vAlign w:val="bottom"/>
          </w:tcPr>
          <w:p>
            <w:pPr>
              <w:jc w:val="right"/>
              <w:ind w:right="159"/>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0" w:type="dxa"/>
            <w:vAlign w:val="bottom"/>
          </w:tcPr>
          <w:p>
            <w:pPr>
              <w:spacing w:after="0"/>
              <w:rPr>
                <w:sz w:val="1"/>
                <w:szCs w:val="1"/>
                <w:color w:val="auto"/>
              </w:rPr>
            </w:pPr>
          </w:p>
        </w:tc>
      </w:tr>
      <w:tr>
        <w:trPr>
          <w:trHeight w:val="238"/>
        </w:trPr>
        <w:tc>
          <w:tcPr>
            <w:tcW w:w="81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499"/>
              <w:spacing w:after="0"/>
              <w:rPr>
                <w:sz w:val="20"/>
                <w:szCs w:val="20"/>
                <w:color w:val="auto"/>
              </w:rPr>
            </w:pPr>
            <w:r>
              <w:rPr>
                <w:rFonts w:ascii="Times New Roman" w:cs="Times New Roman" w:eastAsia="Times New Roman" w:hAnsi="Times New Roman"/>
                <w:sz w:val="18"/>
                <w:szCs w:val="18"/>
                <w:b w:val="1"/>
                <w:bCs w:val="1"/>
                <w:color w:val="auto"/>
              </w:rPr>
              <w:t>2026</w:t>
            </w:r>
          </w:p>
        </w:tc>
        <w:tc>
          <w:tcPr>
            <w:tcW w:w="1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499"/>
              <w:spacing w:after="0"/>
              <w:rPr>
                <w:sz w:val="20"/>
                <w:szCs w:val="20"/>
                <w:color w:val="auto"/>
              </w:rPr>
            </w:pPr>
            <w:r>
              <w:rPr>
                <w:rFonts w:ascii="Times New Roman" w:cs="Times New Roman" w:eastAsia="Times New Roman" w:hAnsi="Times New Roman"/>
                <w:sz w:val="18"/>
                <w:szCs w:val="18"/>
                <w:b w:val="1"/>
                <w:bCs w:val="1"/>
                <w:color w:val="auto"/>
              </w:rPr>
              <w:t>2025</w:t>
            </w:r>
          </w:p>
        </w:tc>
        <w:tc>
          <w:tcPr>
            <w:tcW w:w="0" w:type="dxa"/>
            <w:vAlign w:val="bottom"/>
          </w:tcPr>
          <w:p>
            <w:pPr>
              <w:spacing w:after="0"/>
              <w:rPr>
                <w:sz w:val="1"/>
                <w:szCs w:val="1"/>
                <w:color w:val="auto"/>
              </w:rPr>
            </w:pPr>
          </w:p>
        </w:tc>
      </w:tr>
      <w:tr>
        <w:trPr>
          <w:trHeight w:val="252"/>
        </w:trPr>
        <w:tc>
          <w:tcPr>
            <w:tcW w:w="8100" w:type="dxa"/>
            <w:vAlign w:val="bottom"/>
          </w:tcPr>
          <w:p>
            <w:pPr>
              <w:ind w:left="5320"/>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24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9"/>
        </w:trPr>
        <w:tc>
          <w:tcPr>
            <w:tcW w:w="8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2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271,058</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214,446</w:t>
            </w:r>
          </w:p>
        </w:tc>
        <w:tc>
          <w:tcPr>
            <w:tcW w:w="0" w:type="dxa"/>
            <w:vAlign w:val="bottom"/>
          </w:tcPr>
          <w:p>
            <w:pPr>
              <w:spacing w:after="0"/>
              <w:rPr>
                <w:sz w:val="1"/>
                <w:szCs w:val="1"/>
                <w:color w:val="auto"/>
              </w:rPr>
            </w:pPr>
          </w:p>
        </w:tc>
      </w:tr>
      <w:tr>
        <w:trPr>
          <w:trHeight w:val="213"/>
        </w:trPr>
        <w:tc>
          <w:tcPr>
            <w:tcW w:w="81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Accounts receivable</w:t>
            </w:r>
          </w:p>
        </w:tc>
        <w:tc>
          <w:tcPr>
            <w:tcW w:w="24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140,234</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154,536</w:t>
            </w:r>
          </w:p>
        </w:tc>
        <w:tc>
          <w:tcPr>
            <w:tcW w:w="0" w:type="dxa"/>
            <w:vAlign w:val="bottom"/>
          </w:tcPr>
          <w:p>
            <w:pPr>
              <w:spacing w:after="0"/>
              <w:rPr>
                <w:sz w:val="1"/>
                <w:szCs w:val="1"/>
                <w:color w:val="auto"/>
              </w:rPr>
            </w:pPr>
          </w:p>
        </w:tc>
      </w:tr>
      <w:tr>
        <w:trPr>
          <w:trHeight w:val="219"/>
        </w:trPr>
        <w:tc>
          <w:tcPr>
            <w:tcW w:w="8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Investment securities</w:t>
            </w:r>
          </w:p>
        </w:tc>
        <w:tc>
          <w:tcPr>
            <w:tcW w:w="2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262,784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228,044</w:t>
            </w:r>
          </w:p>
        </w:tc>
        <w:tc>
          <w:tcPr>
            <w:tcW w:w="0" w:type="dxa"/>
            <w:vAlign w:val="bottom"/>
          </w:tcPr>
          <w:p>
            <w:pPr>
              <w:spacing w:after="0"/>
              <w:rPr>
                <w:sz w:val="1"/>
                <w:szCs w:val="1"/>
                <w:color w:val="auto"/>
              </w:rPr>
            </w:pPr>
          </w:p>
        </w:tc>
      </w:tr>
      <w:tr>
        <w:trPr>
          <w:trHeight w:val="213"/>
        </w:trPr>
        <w:tc>
          <w:tcPr>
            <w:tcW w:w="81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Property and equipment, net</w:t>
            </w:r>
          </w:p>
        </w:tc>
        <w:tc>
          <w:tcPr>
            <w:tcW w:w="24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31,624</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33,020</w:t>
            </w:r>
          </w:p>
        </w:tc>
        <w:tc>
          <w:tcPr>
            <w:tcW w:w="0" w:type="dxa"/>
            <w:vAlign w:val="bottom"/>
          </w:tcPr>
          <w:p>
            <w:pPr>
              <w:spacing w:after="0"/>
              <w:rPr>
                <w:sz w:val="1"/>
                <w:szCs w:val="1"/>
                <w:color w:val="auto"/>
              </w:rPr>
            </w:pPr>
          </w:p>
        </w:tc>
      </w:tr>
      <w:tr>
        <w:trPr>
          <w:trHeight w:val="219"/>
        </w:trPr>
        <w:tc>
          <w:tcPr>
            <w:tcW w:w="8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Deferred tax assets</w:t>
            </w:r>
          </w:p>
        </w:tc>
        <w:tc>
          <w:tcPr>
            <w:tcW w:w="2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346,360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354,702</w:t>
            </w:r>
          </w:p>
        </w:tc>
        <w:tc>
          <w:tcPr>
            <w:tcW w:w="0" w:type="dxa"/>
            <w:vAlign w:val="bottom"/>
          </w:tcPr>
          <w:p>
            <w:pPr>
              <w:spacing w:after="0"/>
              <w:rPr>
                <w:sz w:val="1"/>
                <w:szCs w:val="1"/>
                <w:color w:val="auto"/>
              </w:rPr>
            </w:pPr>
          </w:p>
        </w:tc>
      </w:tr>
      <w:tr>
        <w:trPr>
          <w:trHeight w:val="213"/>
        </w:trPr>
        <w:tc>
          <w:tcPr>
            <w:tcW w:w="81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Prepaid expenses and other assets</w:t>
            </w:r>
          </w:p>
        </w:tc>
        <w:tc>
          <w:tcPr>
            <w:tcW w:w="24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24,136</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25,291</w:t>
            </w:r>
          </w:p>
        </w:tc>
        <w:tc>
          <w:tcPr>
            <w:tcW w:w="0" w:type="dxa"/>
            <w:vAlign w:val="bottom"/>
          </w:tcPr>
          <w:p>
            <w:pPr>
              <w:spacing w:after="0"/>
              <w:rPr>
                <w:sz w:val="1"/>
                <w:szCs w:val="1"/>
                <w:color w:val="auto"/>
              </w:rPr>
            </w:pPr>
          </w:p>
        </w:tc>
      </w:tr>
      <w:tr>
        <w:trPr>
          <w:trHeight w:val="219"/>
        </w:trPr>
        <w:tc>
          <w:tcPr>
            <w:tcW w:w="8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Operating lease assets</w:t>
            </w:r>
          </w:p>
        </w:tc>
        <w:tc>
          <w:tcPr>
            <w:tcW w:w="2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105,147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105,278</w:t>
            </w:r>
          </w:p>
        </w:tc>
        <w:tc>
          <w:tcPr>
            <w:tcW w:w="0" w:type="dxa"/>
            <w:vAlign w:val="bottom"/>
          </w:tcPr>
          <w:p>
            <w:pPr>
              <w:spacing w:after="0"/>
              <w:rPr>
                <w:sz w:val="1"/>
                <w:szCs w:val="1"/>
                <w:color w:val="auto"/>
              </w:rPr>
            </w:pPr>
          </w:p>
        </w:tc>
      </w:tr>
      <w:tr>
        <w:trPr>
          <w:trHeight w:val="213"/>
        </w:trPr>
        <w:tc>
          <w:tcPr>
            <w:tcW w:w="81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Goodwill</w:t>
            </w:r>
          </w:p>
        </w:tc>
        <w:tc>
          <w:tcPr>
            <w:tcW w:w="24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40,339</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9"/>
        </w:trPr>
        <w:tc>
          <w:tcPr>
            <w:tcW w:w="8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intangible assets, net</w:t>
            </w:r>
          </w:p>
        </w:tc>
        <w:tc>
          <w:tcPr>
            <w:tcW w:w="2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7,985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4"/>
        </w:trPr>
        <w:tc>
          <w:tcPr>
            <w:tcW w:w="8100" w:type="dxa"/>
            <w:vAlign w:val="bottom"/>
          </w:tcPr>
          <w:p>
            <w:pPr>
              <w:ind w:left="20"/>
              <w:spacing w:after="0"/>
              <w:rPr>
                <w:sz w:val="20"/>
                <w:szCs w:val="20"/>
                <w:color w:val="auto"/>
              </w:rPr>
            </w:pPr>
            <w:r>
              <w:rPr>
                <w:rFonts w:ascii="Times New Roman" w:cs="Times New Roman" w:eastAsia="Times New Roman" w:hAnsi="Times New Roman"/>
                <w:sz w:val="16"/>
                <w:szCs w:val="16"/>
                <w:i w:val="1"/>
                <w:iCs w:val="1"/>
                <w:color w:val="auto"/>
              </w:rPr>
              <w:t>Assets of consolidated investment products</w:t>
            </w:r>
          </w:p>
        </w:tc>
        <w:tc>
          <w:tcPr>
            <w:tcW w:w="2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81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24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29,387</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41,060</w:t>
            </w:r>
          </w:p>
        </w:tc>
        <w:tc>
          <w:tcPr>
            <w:tcW w:w="0" w:type="dxa"/>
            <w:vAlign w:val="bottom"/>
          </w:tcPr>
          <w:p>
            <w:pPr>
              <w:spacing w:after="0"/>
              <w:rPr>
                <w:sz w:val="1"/>
                <w:szCs w:val="1"/>
                <w:color w:val="auto"/>
              </w:rPr>
            </w:pPr>
          </w:p>
        </w:tc>
      </w:tr>
      <w:tr>
        <w:trPr>
          <w:trHeight w:val="213"/>
        </w:trPr>
        <w:tc>
          <w:tcPr>
            <w:tcW w:w="810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Accounts receivable and other</w:t>
            </w:r>
          </w:p>
        </w:tc>
        <w:tc>
          <w:tcPr>
            <w:tcW w:w="24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16,223</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10,679</w:t>
            </w:r>
          </w:p>
        </w:tc>
        <w:tc>
          <w:tcPr>
            <w:tcW w:w="0" w:type="dxa"/>
            <w:vAlign w:val="bottom"/>
          </w:tcPr>
          <w:p>
            <w:pPr>
              <w:spacing w:after="0"/>
              <w:rPr>
                <w:sz w:val="1"/>
                <w:szCs w:val="1"/>
                <w:color w:val="auto"/>
              </w:rPr>
            </w:pPr>
          </w:p>
        </w:tc>
      </w:tr>
      <w:tr>
        <w:trPr>
          <w:trHeight w:val="216"/>
        </w:trPr>
        <w:tc>
          <w:tcPr>
            <w:tcW w:w="81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Investment assets, at fair value</w:t>
            </w:r>
          </w:p>
        </w:tc>
        <w:tc>
          <w:tcPr>
            <w:tcW w:w="24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165,918</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410,236</w:t>
            </w:r>
          </w:p>
        </w:tc>
        <w:tc>
          <w:tcPr>
            <w:tcW w:w="0" w:type="dxa"/>
            <w:vAlign w:val="bottom"/>
          </w:tcPr>
          <w:p>
            <w:pPr>
              <w:spacing w:after="0"/>
              <w:rPr>
                <w:sz w:val="1"/>
                <w:szCs w:val="1"/>
                <w:color w:val="auto"/>
              </w:rPr>
            </w:pPr>
          </w:p>
        </w:tc>
      </w:tr>
      <w:tr>
        <w:trPr>
          <w:trHeight w:val="212"/>
        </w:trPr>
        <w:tc>
          <w:tcPr>
            <w:tcW w:w="8100" w:type="dxa"/>
            <w:vAlign w:val="bottom"/>
          </w:tcPr>
          <w:p>
            <w:pPr>
              <w:ind w:left="560"/>
              <w:spacing w:after="0"/>
              <w:rPr>
                <w:sz w:val="20"/>
                <w:szCs w:val="20"/>
                <w:color w:val="auto"/>
              </w:rPr>
            </w:pPr>
            <w:r>
              <w:rPr>
                <w:rFonts w:ascii="Times New Roman" w:cs="Times New Roman" w:eastAsia="Times New Roman" w:hAnsi="Times New Roman"/>
                <w:sz w:val="16"/>
                <w:szCs w:val="16"/>
                <w:color w:val="auto"/>
              </w:rPr>
              <w:t>Total assets</w:t>
            </w:r>
          </w:p>
        </w:tc>
        <w:tc>
          <w:tcPr>
            <w:tcW w:w="24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1,441,195</w:t>
            </w:r>
          </w:p>
        </w:tc>
        <w:tc>
          <w:tcPr>
            <w:tcW w:w="10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1,577,292</w:t>
            </w:r>
          </w:p>
        </w:tc>
        <w:tc>
          <w:tcPr>
            <w:tcW w:w="0" w:type="dxa"/>
            <w:vAlign w:val="bottom"/>
          </w:tcPr>
          <w:p>
            <w:pPr>
              <w:spacing w:after="0"/>
              <w:rPr>
                <w:sz w:val="1"/>
                <w:szCs w:val="1"/>
                <w:color w:val="auto"/>
              </w:rPr>
            </w:pPr>
          </w:p>
        </w:tc>
      </w:tr>
      <w:tr>
        <w:trPr>
          <w:trHeight w:val="20"/>
        </w:trPr>
        <w:tc>
          <w:tcPr>
            <w:tcW w:w="8100" w:type="dxa"/>
            <w:vAlign w:val="bottom"/>
          </w:tcPr>
          <w:p>
            <w:pPr>
              <w:spacing w:after="0" w:line="20" w:lineRule="exact"/>
              <w:rPr>
                <w:sz w:val="1"/>
                <w:szCs w:val="1"/>
                <w:color w:val="auto"/>
              </w:rPr>
            </w:pPr>
          </w:p>
        </w:tc>
        <w:tc>
          <w:tcPr>
            <w:tcW w:w="152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4"/>
        </w:trPr>
        <w:tc>
          <w:tcPr>
            <w:tcW w:w="9720" w:type="dxa"/>
            <w:vAlign w:val="bottom"/>
            <w:gridSpan w:val="4"/>
          </w:tcPr>
          <w:p>
            <w:pPr>
              <w:ind w:left="1940"/>
              <w:spacing w:after="0"/>
              <w:rPr>
                <w:sz w:val="20"/>
                <w:szCs w:val="20"/>
                <w:color w:val="auto"/>
              </w:rPr>
            </w:pPr>
            <w:r>
              <w:rPr>
                <w:rFonts w:ascii="Times New Roman" w:cs="Times New Roman" w:eastAsia="Times New Roman" w:hAnsi="Times New Roman"/>
                <w:sz w:val="16"/>
                <w:szCs w:val="16"/>
                <w:b w:val="1"/>
                <w:bCs w:val="1"/>
                <w:color w:val="auto"/>
              </w:rPr>
              <w:t>LIABILITIES, REDEEMABLE NONCONTROLLING INTERESTS, AND STOCKHOLDERS’ EQUITY</w:t>
            </w:r>
          </w:p>
        </w:tc>
        <w:tc>
          <w:tcPr>
            <w:tcW w:w="18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9"/>
        </w:trPr>
        <w:tc>
          <w:tcPr>
            <w:tcW w:w="8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Accounts payable, accrued expenses and other</w:t>
            </w:r>
          </w:p>
        </w:tc>
        <w:tc>
          <w:tcPr>
            <w:tcW w:w="2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43,982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32,452</w:t>
            </w:r>
          </w:p>
        </w:tc>
        <w:tc>
          <w:tcPr>
            <w:tcW w:w="0" w:type="dxa"/>
            <w:vAlign w:val="bottom"/>
          </w:tcPr>
          <w:p>
            <w:pPr>
              <w:spacing w:after="0"/>
              <w:rPr>
                <w:sz w:val="1"/>
                <w:szCs w:val="1"/>
                <w:color w:val="auto"/>
              </w:rPr>
            </w:pPr>
          </w:p>
        </w:tc>
      </w:tr>
      <w:tr>
        <w:trPr>
          <w:trHeight w:val="213"/>
        </w:trPr>
        <w:tc>
          <w:tcPr>
            <w:tcW w:w="81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Accrued short-term incentive compensation</w:t>
            </w:r>
          </w:p>
        </w:tc>
        <w:tc>
          <w:tcPr>
            <w:tcW w:w="24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99,154</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28,854</w:t>
            </w:r>
          </w:p>
        </w:tc>
        <w:tc>
          <w:tcPr>
            <w:tcW w:w="0" w:type="dxa"/>
            <w:vAlign w:val="bottom"/>
          </w:tcPr>
          <w:p>
            <w:pPr>
              <w:spacing w:after="0"/>
              <w:rPr>
                <w:sz w:val="1"/>
                <w:szCs w:val="1"/>
                <w:color w:val="auto"/>
              </w:rPr>
            </w:pPr>
          </w:p>
        </w:tc>
      </w:tr>
      <w:tr>
        <w:trPr>
          <w:trHeight w:val="219"/>
        </w:trPr>
        <w:tc>
          <w:tcPr>
            <w:tcW w:w="8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Accrued long-term incentive compensation</w:t>
            </w:r>
          </w:p>
        </w:tc>
        <w:tc>
          <w:tcPr>
            <w:tcW w:w="2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115,062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105,423</w:t>
            </w:r>
          </w:p>
        </w:tc>
        <w:tc>
          <w:tcPr>
            <w:tcW w:w="0" w:type="dxa"/>
            <w:vAlign w:val="bottom"/>
          </w:tcPr>
          <w:p>
            <w:pPr>
              <w:spacing w:after="0"/>
              <w:rPr>
                <w:sz w:val="1"/>
                <w:szCs w:val="1"/>
                <w:color w:val="auto"/>
              </w:rPr>
            </w:pPr>
          </w:p>
        </w:tc>
      </w:tr>
      <w:tr>
        <w:trPr>
          <w:trHeight w:val="213"/>
        </w:trPr>
        <w:tc>
          <w:tcPr>
            <w:tcW w:w="81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Contingent consideration</w:t>
            </w:r>
          </w:p>
        </w:tc>
        <w:tc>
          <w:tcPr>
            <w:tcW w:w="24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25,850</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9"/>
        </w:trPr>
        <w:tc>
          <w:tcPr>
            <w:tcW w:w="8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Operating lease liabilities</w:t>
            </w:r>
          </w:p>
        </w:tc>
        <w:tc>
          <w:tcPr>
            <w:tcW w:w="2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120,170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120,881</w:t>
            </w:r>
          </w:p>
        </w:tc>
        <w:tc>
          <w:tcPr>
            <w:tcW w:w="0" w:type="dxa"/>
            <w:vAlign w:val="bottom"/>
          </w:tcPr>
          <w:p>
            <w:pPr>
              <w:spacing w:after="0"/>
              <w:rPr>
                <w:sz w:val="1"/>
                <w:szCs w:val="1"/>
                <w:color w:val="auto"/>
              </w:rPr>
            </w:pPr>
          </w:p>
        </w:tc>
      </w:tr>
      <w:tr>
        <w:trPr>
          <w:trHeight w:val="213"/>
        </w:trPr>
        <w:tc>
          <w:tcPr>
            <w:tcW w:w="81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Borrowings</w:t>
            </w:r>
          </w:p>
        </w:tc>
        <w:tc>
          <w:tcPr>
            <w:tcW w:w="24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189,188</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189,140</w:t>
            </w:r>
          </w:p>
        </w:tc>
        <w:tc>
          <w:tcPr>
            <w:tcW w:w="0" w:type="dxa"/>
            <w:vAlign w:val="bottom"/>
          </w:tcPr>
          <w:p>
            <w:pPr>
              <w:spacing w:after="0"/>
              <w:rPr>
                <w:sz w:val="1"/>
                <w:szCs w:val="1"/>
                <w:color w:val="auto"/>
              </w:rPr>
            </w:pPr>
          </w:p>
        </w:tc>
      </w:tr>
      <w:tr>
        <w:trPr>
          <w:trHeight w:val="219"/>
        </w:trPr>
        <w:tc>
          <w:tcPr>
            <w:tcW w:w="8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Amounts payable under tax receivable agreements</w:t>
            </w:r>
          </w:p>
        </w:tc>
        <w:tc>
          <w:tcPr>
            <w:tcW w:w="2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305,228</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303,368</w:t>
            </w:r>
          </w:p>
        </w:tc>
        <w:tc>
          <w:tcPr>
            <w:tcW w:w="0" w:type="dxa"/>
            <w:vAlign w:val="bottom"/>
          </w:tcPr>
          <w:p>
            <w:pPr>
              <w:spacing w:after="0"/>
              <w:rPr>
                <w:sz w:val="1"/>
                <w:szCs w:val="1"/>
                <w:color w:val="auto"/>
              </w:rPr>
            </w:pPr>
          </w:p>
        </w:tc>
      </w:tr>
      <w:tr>
        <w:trPr>
          <w:trHeight w:val="214"/>
        </w:trPr>
        <w:tc>
          <w:tcPr>
            <w:tcW w:w="8100" w:type="dxa"/>
            <w:vAlign w:val="bottom"/>
          </w:tcPr>
          <w:p>
            <w:pPr>
              <w:ind w:left="20"/>
              <w:spacing w:after="0"/>
              <w:rPr>
                <w:sz w:val="20"/>
                <w:szCs w:val="20"/>
                <w:color w:val="auto"/>
              </w:rPr>
            </w:pPr>
            <w:r>
              <w:rPr>
                <w:rFonts w:ascii="Times New Roman" w:cs="Times New Roman" w:eastAsia="Times New Roman" w:hAnsi="Times New Roman"/>
                <w:sz w:val="16"/>
                <w:szCs w:val="16"/>
                <w:i w:val="1"/>
                <w:iCs w:val="1"/>
                <w:color w:val="auto"/>
              </w:rPr>
              <w:t>Liabilities of consolidated investment products</w:t>
            </w:r>
          </w:p>
        </w:tc>
        <w:tc>
          <w:tcPr>
            <w:tcW w:w="2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81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Accounts payable, accrued expenses and other</w:t>
            </w:r>
          </w:p>
        </w:tc>
        <w:tc>
          <w:tcPr>
            <w:tcW w:w="24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23,082</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13,942</w:t>
            </w:r>
          </w:p>
        </w:tc>
        <w:tc>
          <w:tcPr>
            <w:tcW w:w="0" w:type="dxa"/>
            <w:vAlign w:val="bottom"/>
          </w:tcPr>
          <w:p>
            <w:pPr>
              <w:spacing w:after="0"/>
              <w:rPr>
                <w:sz w:val="1"/>
                <w:szCs w:val="1"/>
                <w:color w:val="auto"/>
              </w:rPr>
            </w:pPr>
          </w:p>
        </w:tc>
      </w:tr>
      <w:tr>
        <w:trPr>
          <w:trHeight w:val="213"/>
        </w:trPr>
        <w:tc>
          <w:tcPr>
            <w:tcW w:w="810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6"/>
                <w:szCs w:val="16"/>
                <w:color w:val="auto"/>
              </w:rPr>
              <w:t>Investment liabilities, at fair value</w:t>
            </w:r>
          </w:p>
        </w:tc>
        <w:tc>
          <w:tcPr>
            <w:tcW w:w="24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5,894</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813</w:t>
            </w:r>
          </w:p>
        </w:tc>
        <w:tc>
          <w:tcPr>
            <w:tcW w:w="0" w:type="dxa"/>
            <w:vAlign w:val="bottom"/>
          </w:tcPr>
          <w:p>
            <w:pPr>
              <w:spacing w:after="0"/>
              <w:rPr>
                <w:sz w:val="1"/>
                <w:szCs w:val="1"/>
                <w:color w:val="auto"/>
              </w:rPr>
            </w:pPr>
          </w:p>
        </w:tc>
      </w:tr>
      <w:tr>
        <w:trPr>
          <w:trHeight w:val="212"/>
        </w:trPr>
        <w:tc>
          <w:tcPr>
            <w:tcW w:w="810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6"/>
                <w:szCs w:val="16"/>
                <w:color w:val="auto"/>
              </w:rPr>
              <w:t>Total liabilities</w:t>
            </w:r>
          </w:p>
        </w:tc>
        <w:tc>
          <w:tcPr>
            <w:tcW w:w="2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927,610</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794,873</w:t>
            </w:r>
          </w:p>
        </w:tc>
        <w:tc>
          <w:tcPr>
            <w:tcW w:w="0" w:type="dxa"/>
            <w:vAlign w:val="bottom"/>
          </w:tcPr>
          <w:p>
            <w:pPr>
              <w:spacing w:after="0"/>
              <w:rPr>
                <w:sz w:val="1"/>
                <w:szCs w:val="1"/>
                <w:color w:val="auto"/>
              </w:rPr>
            </w:pPr>
          </w:p>
        </w:tc>
      </w:tr>
      <w:tr>
        <w:trPr>
          <w:trHeight w:val="213"/>
        </w:trPr>
        <w:tc>
          <w:tcPr>
            <w:tcW w:w="81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Commitments and contingencies</w:t>
            </w:r>
          </w:p>
        </w:tc>
        <w:tc>
          <w:tcPr>
            <w:tcW w:w="2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8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Redeemable noncontrolling interests</w:t>
            </w:r>
          </w:p>
        </w:tc>
        <w:tc>
          <w:tcPr>
            <w:tcW w:w="24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80,458</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304,263</w:t>
            </w:r>
          </w:p>
        </w:tc>
        <w:tc>
          <w:tcPr>
            <w:tcW w:w="0" w:type="dxa"/>
            <w:vAlign w:val="bottom"/>
          </w:tcPr>
          <w:p>
            <w:pPr>
              <w:spacing w:after="0"/>
              <w:rPr>
                <w:sz w:val="1"/>
                <w:szCs w:val="1"/>
                <w:color w:val="auto"/>
              </w:rPr>
            </w:pPr>
          </w:p>
        </w:tc>
      </w:tr>
      <w:tr>
        <w:trPr>
          <w:trHeight w:val="193"/>
        </w:trPr>
        <w:tc>
          <w:tcPr>
            <w:tcW w:w="81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Common stock</w:t>
            </w:r>
          </w:p>
        </w:tc>
        <w:tc>
          <w:tcPr>
            <w:tcW w:w="24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5"/>
        </w:trPr>
        <w:tc>
          <w:tcPr>
            <w:tcW w:w="8100" w:type="dxa"/>
            <w:vAlign w:val="bottom"/>
            <w:shd w:val="clear" w:color="auto" w:fill="CCEEFF"/>
          </w:tcPr>
          <w:p>
            <w:pPr>
              <w:ind w:left="300"/>
              <w:spacing w:after="0" w:line="165" w:lineRule="exact"/>
              <w:rPr>
                <w:sz w:val="20"/>
                <w:szCs w:val="20"/>
                <w:color w:val="auto"/>
              </w:rPr>
            </w:pPr>
            <w:r>
              <w:rPr>
                <w:rFonts w:ascii="Times New Roman" w:cs="Times New Roman" w:eastAsia="Times New Roman" w:hAnsi="Times New Roman"/>
                <w:sz w:val="16"/>
                <w:szCs w:val="16"/>
                <w:color w:val="auto"/>
              </w:rPr>
              <w:t>Class A common stock ($0.01 par value per share, 500,000,000 shares authorized, 70,993,257 and 70,472,750 shares</w:t>
            </w:r>
          </w:p>
        </w:tc>
        <w:tc>
          <w:tcPr>
            <w:tcW w:w="240" w:type="dxa"/>
            <w:vAlign w:val="bottom"/>
            <w:shd w:val="clear" w:color="auto" w:fill="CCEEFF"/>
          </w:tcPr>
          <w:p>
            <w:pPr>
              <w:spacing w:after="0"/>
              <w:rPr>
                <w:sz w:val="14"/>
                <w:szCs w:val="14"/>
                <w:color w:val="auto"/>
              </w:rPr>
            </w:pPr>
          </w:p>
        </w:tc>
        <w:tc>
          <w:tcPr>
            <w:tcW w:w="12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710</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3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705</w:t>
            </w:r>
          </w:p>
        </w:tc>
        <w:tc>
          <w:tcPr>
            <w:tcW w:w="0" w:type="dxa"/>
            <w:vAlign w:val="bottom"/>
          </w:tcPr>
          <w:p>
            <w:pPr>
              <w:spacing w:after="0"/>
              <w:rPr>
                <w:sz w:val="1"/>
                <w:szCs w:val="1"/>
                <w:color w:val="auto"/>
              </w:rPr>
            </w:pPr>
          </w:p>
        </w:tc>
      </w:tr>
      <w:tr>
        <w:trPr>
          <w:trHeight w:val="216"/>
        </w:trPr>
        <w:tc>
          <w:tcPr>
            <w:tcW w:w="810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rPr>
              <w:t>outstanding at March 31, 2026 and December 31, 2025, respectively)</w:t>
            </w:r>
          </w:p>
        </w:tc>
        <w:tc>
          <w:tcPr>
            <w:tcW w:w="240" w:type="dxa"/>
            <w:vAlign w:val="bottom"/>
            <w:shd w:val="clear" w:color="auto" w:fill="CCEEFF"/>
          </w:tcPr>
          <w:p>
            <w:pPr>
              <w:spacing w:after="0"/>
              <w:rPr>
                <w:sz w:val="18"/>
                <w:szCs w:val="18"/>
                <w:color w:val="auto"/>
              </w:rPr>
            </w:pPr>
          </w:p>
        </w:tc>
        <w:tc>
          <w:tcPr>
            <w:tcW w:w="128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4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8100" w:type="dxa"/>
            <w:vAlign w:val="bottom"/>
          </w:tcPr>
          <w:p>
            <w:pPr>
              <w:ind w:left="300"/>
              <w:spacing w:after="0" w:line="162" w:lineRule="exact"/>
              <w:rPr>
                <w:sz w:val="20"/>
                <w:szCs w:val="20"/>
                <w:color w:val="auto"/>
              </w:rPr>
            </w:pPr>
            <w:r>
              <w:rPr>
                <w:rFonts w:ascii="Times New Roman" w:cs="Times New Roman" w:eastAsia="Times New Roman" w:hAnsi="Times New Roman"/>
                <w:sz w:val="16"/>
                <w:szCs w:val="16"/>
                <w:color w:val="auto"/>
              </w:rPr>
              <w:t>Class B common stock ($0.01 par value per share, 200,000,000 shares authorized, 1,147,029 and 1,137,929 shares</w:t>
            </w:r>
          </w:p>
        </w:tc>
        <w:tc>
          <w:tcPr>
            <w:tcW w:w="240" w:type="dxa"/>
            <w:vAlign w:val="bottom"/>
          </w:tcPr>
          <w:p>
            <w:pPr>
              <w:spacing w:after="0"/>
              <w:rPr>
                <w:sz w:val="14"/>
                <w:szCs w:val="14"/>
                <w:color w:val="auto"/>
              </w:rPr>
            </w:pPr>
          </w:p>
        </w:tc>
        <w:tc>
          <w:tcPr>
            <w:tcW w:w="12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11</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11</w:t>
            </w:r>
          </w:p>
        </w:tc>
        <w:tc>
          <w:tcPr>
            <w:tcW w:w="0" w:type="dxa"/>
            <w:vAlign w:val="bottom"/>
          </w:tcPr>
          <w:p>
            <w:pPr>
              <w:spacing w:after="0"/>
              <w:rPr>
                <w:sz w:val="1"/>
                <w:szCs w:val="1"/>
                <w:color w:val="auto"/>
              </w:rPr>
            </w:pPr>
          </w:p>
        </w:tc>
      </w:tr>
      <w:tr>
        <w:trPr>
          <w:trHeight w:val="213"/>
        </w:trPr>
        <w:tc>
          <w:tcPr>
            <w:tcW w:w="8100" w:type="dxa"/>
            <w:vAlign w:val="bottom"/>
          </w:tcPr>
          <w:p>
            <w:pPr>
              <w:ind w:left="480"/>
              <w:spacing w:after="0"/>
              <w:rPr>
                <w:sz w:val="20"/>
                <w:szCs w:val="20"/>
                <w:color w:val="auto"/>
              </w:rPr>
            </w:pPr>
            <w:r>
              <w:rPr>
                <w:rFonts w:ascii="Times New Roman" w:cs="Times New Roman" w:eastAsia="Times New Roman" w:hAnsi="Times New Roman"/>
                <w:sz w:val="16"/>
                <w:szCs w:val="16"/>
                <w:color w:val="auto"/>
              </w:rPr>
              <w:t>outstanding at March 31, 2026 and December 31, 2025, respectively)</w:t>
            </w:r>
          </w:p>
        </w:tc>
        <w:tc>
          <w:tcPr>
            <w:tcW w:w="240" w:type="dxa"/>
            <w:vAlign w:val="bottom"/>
          </w:tcPr>
          <w:p>
            <w:pPr>
              <w:spacing w:after="0"/>
              <w:rPr>
                <w:sz w:val="18"/>
                <w:szCs w:val="18"/>
                <w:color w:val="auto"/>
              </w:rPr>
            </w:pPr>
          </w:p>
        </w:tc>
        <w:tc>
          <w:tcPr>
            <w:tcW w:w="12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5"/>
        </w:trPr>
        <w:tc>
          <w:tcPr>
            <w:tcW w:w="8100" w:type="dxa"/>
            <w:vAlign w:val="bottom"/>
            <w:shd w:val="clear" w:color="auto" w:fill="CCEEFF"/>
          </w:tcPr>
          <w:p>
            <w:pPr>
              <w:ind w:left="300"/>
              <w:spacing w:after="0" w:line="165" w:lineRule="exact"/>
              <w:rPr>
                <w:sz w:val="20"/>
                <w:szCs w:val="20"/>
                <w:color w:val="auto"/>
              </w:rPr>
            </w:pPr>
            <w:r>
              <w:rPr>
                <w:rFonts w:ascii="Times New Roman" w:cs="Times New Roman" w:eastAsia="Times New Roman" w:hAnsi="Times New Roman"/>
                <w:sz w:val="16"/>
                <w:szCs w:val="16"/>
                <w:color w:val="auto"/>
              </w:rPr>
              <w:t>Class C common stock ($0.01 par value per share, 400,000,000 shares authorized, 8,917,476 and 9,077,590 shares</w:t>
            </w:r>
          </w:p>
        </w:tc>
        <w:tc>
          <w:tcPr>
            <w:tcW w:w="240" w:type="dxa"/>
            <w:vAlign w:val="bottom"/>
            <w:shd w:val="clear" w:color="auto" w:fill="CCEEFF"/>
          </w:tcPr>
          <w:p>
            <w:pPr>
              <w:spacing w:after="0"/>
              <w:rPr>
                <w:sz w:val="14"/>
                <w:szCs w:val="14"/>
                <w:color w:val="auto"/>
              </w:rPr>
            </w:pPr>
          </w:p>
        </w:tc>
        <w:tc>
          <w:tcPr>
            <w:tcW w:w="12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89</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3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91</w:t>
            </w:r>
          </w:p>
        </w:tc>
        <w:tc>
          <w:tcPr>
            <w:tcW w:w="0" w:type="dxa"/>
            <w:vAlign w:val="bottom"/>
          </w:tcPr>
          <w:p>
            <w:pPr>
              <w:spacing w:after="0"/>
              <w:rPr>
                <w:sz w:val="1"/>
                <w:szCs w:val="1"/>
                <w:color w:val="auto"/>
              </w:rPr>
            </w:pPr>
          </w:p>
        </w:tc>
      </w:tr>
      <w:tr>
        <w:trPr>
          <w:trHeight w:val="216"/>
        </w:trPr>
        <w:tc>
          <w:tcPr>
            <w:tcW w:w="810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rPr>
              <w:t>outstanding at March 31, 2026 and December 31, 2025, respectively)</w:t>
            </w:r>
          </w:p>
        </w:tc>
        <w:tc>
          <w:tcPr>
            <w:tcW w:w="240" w:type="dxa"/>
            <w:vAlign w:val="bottom"/>
            <w:shd w:val="clear" w:color="auto" w:fill="CCEEFF"/>
          </w:tcPr>
          <w:p>
            <w:pPr>
              <w:spacing w:after="0"/>
              <w:rPr>
                <w:sz w:val="18"/>
                <w:szCs w:val="18"/>
                <w:color w:val="auto"/>
              </w:rPr>
            </w:pPr>
          </w:p>
        </w:tc>
        <w:tc>
          <w:tcPr>
            <w:tcW w:w="128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4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81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Additional paid-in capital</w:t>
            </w:r>
          </w:p>
        </w:tc>
        <w:tc>
          <w:tcPr>
            <w:tcW w:w="24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241,145</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236,327</w:t>
            </w:r>
          </w:p>
        </w:tc>
        <w:tc>
          <w:tcPr>
            <w:tcW w:w="0" w:type="dxa"/>
            <w:vAlign w:val="bottom"/>
          </w:tcPr>
          <w:p>
            <w:pPr>
              <w:spacing w:after="0"/>
              <w:rPr>
                <w:sz w:val="1"/>
                <w:szCs w:val="1"/>
                <w:color w:val="auto"/>
              </w:rPr>
            </w:pPr>
          </w:p>
        </w:tc>
      </w:tr>
      <w:tr>
        <w:trPr>
          <w:trHeight w:val="219"/>
        </w:trPr>
        <w:tc>
          <w:tcPr>
            <w:tcW w:w="8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Retained earnings</w:t>
            </w:r>
          </w:p>
        </w:tc>
        <w:tc>
          <w:tcPr>
            <w:tcW w:w="2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149,020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203,386</w:t>
            </w:r>
          </w:p>
        </w:tc>
        <w:tc>
          <w:tcPr>
            <w:tcW w:w="0" w:type="dxa"/>
            <w:vAlign w:val="bottom"/>
          </w:tcPr>
          <w:p>
            <w:pPr>
              <w:spacing w:after="0"/>
              <w:rPr>
                <w:sz w:val="1"/>
                <w:szCs w:val="1"/>
                <w:color w:val="auto"/>
              </w:rPr>
            </w:pPr>
          </w:p>
        </w:tc>
      </w:tr>
      <w:tr>
        <w:trPr>
          <w:trHeight w:val="213"/>
        </w:trPr>
        <w:tc>
          <w:tcPr>
            <w:tcW w:w="81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Accumulated other comprehensive income (loss)</w:t>
            </w:r>
          </w:p>
        </w:tc>
        <w:tc>
          <w:tcPr>
            <w:tcW w:w="24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(1,929)</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(1,689)</w:t>
            </w:r>
          </w:p>
        </w:tc>
        <w:tc>
          <w:tcPr>
            <w:tcW w:w="0" w:type="dxa"/>
            <w:vAlign w:val="bottom"/>
          </w:tcPr>
          <w:p>
            <w:pPr>
              <w:spacing w:after="0"/>
              <w:rPr>
                <w:sz w:val="1"/>
                <w:szCs w:val="1"/>
                <w:color w:val="auto"/>
              </w:rPr>
            </w:pPr>
          </w:p>
        </w:tc>
      </w:tr>
      <w:tr>
        <w:trPr>
          <w:trHeight w:val="212"/>
        </w:trPr>
        <w:tc>
          <w:tcPr>
            <w:tcW w:w="8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Artisan Partners Asset Management Inc. stockholders’ equity</w:t>
            </w:r>
          </w:p>
        </w:tc>
        <w:tc>
          <w:tcPr>
            <w:tcW w:w="24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389,046</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438,831</w:t>
            </w:r>
          </w:p>
        </w:tc>
        <w:tc>
          <w:tcPr>
            <w:tcW w:w="0" w:type="dxa"/>
            <w:vAlign w:val="bottom"/>
          </w:tcPr>
          <w:p>
            <w:pPr>
              <w:spacing w:after="0"/>
              <w:rPr>
                <w:sz w:val="1"/>
                <w:szCs w:val="1"/>
                <w:color w:val="auto"/>
              </w:rPr>
            </w:pPr>
          </w:p>
        </w:tc>
      </w:tr>
      <w:tr>
        <w:trPr>
          <w:trHeight w:val="213"/>
        </w:trPr>
        <w:tc>
          <w:tcPr>
            <w:tcW w:w="81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Noncontrolling interests - Artisan Partners Holdings</w:t>
            </w:r>
          </w:p>
        </w:tc>
        <w:tc>
          <w:tcPr>
            <w:tcW w:w="24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44,081</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39,325</w:t>
            </w:r>
          </w:p>
        </w:tc>
        <w:tc>
          <w:tcPr>
            <w:tcW w:w="0" w:type="dxa"/>
            <w:vAlign w:val="bottom"/>
          </w:tcPr>
          <w:p>
            <w:pPr>
              <w:spacing w:after="0"/>
              <w:rPr>
                <w:sz w:val="1"/>
                <w:szCs w:val="1"/>
                <w:color w:val="auto"/>
              </w:rPr>
            </w:pPr>
          </w:p>
        </w:tc>
      </w:tr>
      <w:tr>
        <w:trPr>
          <w:trHeight w:val="210"/>
        </w:trPr>
        <w:tc>
          <w:tcPr>
            <w:tcW w:w="810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6"/>
                <w:szCs w:val="16"/>
                <w:color w:val="auto"/>
              </w:rPr>
              <w:t>Total stockholders’ equity</w:t>
            </w: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433,127</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478,156</w:t>
            </w:r>
          </w:p>
        </w:tc>
        <w:tc>
          <w:tcPr>
            <w:tcW w:w="0" w:type="dxa"/>
            <w:vAlign w:val="bottom"/>
          </w:tcPr>
          <w:p>
            <w:pPr>
              <w:spacing w:after="0"/>
              <w:rPr>
                <w:sz w:val="1"/>
                <w:szCs w:val="1"/>
                <w:color w:val="auto"/>
              </w:rPr>
            </w:pPr>
          </w:p>
        </w:tc>
      </w:tr>
      <w:tr>
        <w:trPr>
          <w:trHeight w:val="212"/>
        </w:trPr>
        <w:tc>
          <w:tcPr>
            <w:tcW w:w="8100" w:type="dxa"/>
            <w:vAlign w:val="bottom"/>
          </w:tcPr>
          <w:p>
            <w:pPr>
              <w:ind w:left="560"/>
              <w:spacing w:after="0"/>
              <w:rPr>
                <w:sz w:val="20"/>
                <w:szCs w:val="20"/>
                <w:color w:val="auto"/>
              </w:rPr>
            </w:pPr>
            <w:r>
              <w:rPr>
                <w:rFonts w:ascii="Times New Roman" w:cs="Times New Roman" w:eastAsia="Times New Roman" w:hAnsi="Times New Roman"/>
                <w:sz w:val="16"/>
                <w:szCs w:val="16"/>
                <w:color w:val="auto"/>
              </w:rPr>
              <w:t>Total liabilities, redeemable noncontrolling interests and stockholders’ equity</w:t>
            </w:r>
          </w:p>
        </w:tc>
        <w:tc>
          <w:tcPr>
            <w:tcW w:w="24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1,441,195</w:t>
            </w:r>
          </w:p>
        </w:tc>
        <w:tc>
          <w:tcPr>
            <w:tcW w:w="10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1,577,292</w:t>
            </w:r>
          </w:p>
        </w:tc>
        <w:tc>
          <w:tcPr>
            <w:tcW w:w="0" w:type="dxa"/>
            <w:vAlign w:val="bottom"/>
          </w:tcPr>
          <w:p>
            <w:pPr>
              <w:spacing w:after="0"/>
              <w:rPr>
                <w:sz w:val="1"/>
                <w:szCs w:val="1"/>
                <w:color w:val="auto"/>
              </w:rPr>
            </w:pPr>
          </w:p>
        </w:tc>
      </w:tr>
      <w:tr>
        <w:trPr>
          <w:trHeight w:val="20"/>
        </w:trPr>
        <w:tc>
          <w:tcPr>
            <w:tcW w:w="8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The accompanying notes are an integral part of the consolidated financial statements.</w:t>
      </w:r>
    </w:p>
    <w:p>
      <w:pPr>
        <w:sectPr>
          <w:pgSz w:w="11900" w:h="16838" w:orient="portrait"/>
          <w:cols w:equalWidth="0" w:num="1">
            <w:col w:w="11240"/>
          </w:cols>
          <w:pgMar w:left="320" w:top="118"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type w:val="continuous"/>
        </w:sectPr>
      </w:pPr>
    </w:p>
    <w:bookmarkStart w:id="4" w:name="page5"/>
    <w:bookmarkEnd w:id="4"/>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8100" w:type="dxa"/>
            <w:vAlign w:val="bottom"/>
          </w:tcPr>
          <w:p>
            <w:pPr>
              <w:jc w:val="center"/>
              <w:ind w:left="3079"/>
              <w:spacing w:after="0"/>
              <w:rPr>
                <w:sz w:val="20"/>
                <w:szCs w:val="20"/>
                <w:color w:val="auto"/>
              </w:rPr>
            </w:pPr>
            <w:r>
              <w:rPr>
                <w:rFonts w:ascii="Times New Roman" w:cs="Times New Roman" w:eastAsia="Times New Roman" w:hAnsi="Times New Roman"/>
                <w:sz w:val="16"/>
                <w:szCs w:val="16"/>
                <w:b w:val="1"/>
                <w:bCs w:val="1"/>
                <w:color w:val="auto"/>
              </w:rPr>
              <w:t>ARTISAN PARTNERS ASSET MANAGEMENT INC.</w:t>
            </w:r>
          </w:p>
        </w:tc>
        <w:tc>
          <w:tcPr>
            <w:tcW w:w="14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60" w:type="dxa"/>
            <w:vAlign w:val="bottom"/>
          </w:tcPr>
          <w:p>
            <w:pPr>
              <w:spacing w:after="0"/>
              <w:rPr>
                <w:sz w:val="16"/>
                <w:szCs w:val="16"/>
                <w:color w:val="auto"/>
              </w:rPr>
            </w:pPr>
          </w:p>
        </w:tc>
      </w:tr>
      <w:tr>
        <w:trPr>
          <w:trHeight w:val="203"/>
        </w:trPr>
        <w:tc>
          <w:tcPr>
            <w:tcW w:w="8100" w:type="dxa"/>
            <w:vAlign w:val="bottom"/>
          </w:tcPr>
          <w:p>
            <w:pPr>
              <w:jc w:val="center"/>
              <w:ind w:left="3059"/>
              <w:spacing w:after="0"/>
              <w:rPr>
                <w:sz w:val="20"/>
                <w:szCs w:val="20"/>
                <w:color w:val="auto"/>
              </w:rPr>
            </w:pPr>
            <w:r>
              <w:rPr>
                <w:rFonts w:ascii="Times New Roman" w:cs="Times New Roman" w:eastAsia="Times New Roman" w:hAnsi="Times New Roman"/>
                <w:sz w:val="16"/>
                <w:szCs w:val="16"/>
                <w:b w:val="1"/>
                <w:bCs w:val="1"/>
                <w:color w:val="auto"/>
              </w:rPr>
              <w:t>Unaudited Consolidated Statements of Operations</w:t>
            </w:r>
          </w:p>
        </w:tc>
        <w:tc>
          <w:tcPr>
            <w:tcW w:w="14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12"/>
        </w:trPr>
        <w:tc>
          <w:tcPr>
            <w:tcW w:w="8100" w:type="dxa"/>
            <w:vAlign w:val="bottom"/>
          </w:tcPr>
          <w:p>
            <w:pPr>
              <w:jc w:val="center"/>
              <w:ind w:left="3059"/>
              <w:spacing w:after="0"/>
              <w:rPr>
                <w:sz w:val="20"/>
                <w:szCs w:val="20"/>
                <w:color w:val="auto"/>
              </w:rPr>
            </w:pPr>
            <w:r>
              <w:rPr>
                <w:rFonts w:ascii="Times New Roman" w:cs="Times New Roman" w:eastAsia="Times New Roman" w:hAnsi="Times New Roman"/>
                <w:sz w:val="16"/>
                <w:szCs w:val="16"/>
                <w:b w:val="1"/>
                <w:bCs w:val="1"/>
                <w:color w:val="auto"/>
              </w:rPr>
              <w:t>(U.S. dollars in thousands, except per share amounts)</w:t>
            </w:r>
          </w:p>
        </w:tc>
        <w:tc>
          <w:tcPr>
            <w:tcW w:w="1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spacing w:after="0"/>
              <w:rPr>
                <w:sz w:val="18"/>
                <w:szCs w:val="18"/>
                <w:color w:val="auto"/>
              </w:rPr>
            </w:pPr>
          </w:p>
        </w:tc>
      </w:tr>
      <w:tr>
        <w:trPr>
          <w:trHeight w:val="232"/>
        </w:trPr>
        <w:tc>
          <w:tcPr>
            <w:tcW w:w="81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3000" w:type="dxa"/>
            <w:vAlign w:val="bottom"/>
            <w:tcBorders>
              <w:bottom w:val="single" w:sz="8" w:color="auto"/>
            </w:tcBorders>
            <w:gridSpan w:val="4"/>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rPr>
              <w:t>For the Three Months Ended March 31,</w:t>
            </w:r>
          </w:p>
        </w:tc>
      </w:tr>
      <w:tr>
        <w:trPr>
          <w:trHeight w:val="211"/>
        </w:trPr>
        <w:tc>
          <w:tcPr>
            <w:tcW w:w="8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ind w:right="519"/>
              <w:spacing w:after="0"/>
              <w:rPr>
                <w:sz w:val="20"/>
                <w:szCs w:val="20"/>
                <w:color w:val="auto"/>
              </w:rPr>
            </w:pPr>
            <w:r>
              <w:rPr>
                <w:rFonts w:ascii="Times New Roman" w:cs="Times New Roman" w:eastAsia="Times New Roman" w:hAnsi="Times New Roman"/>
                <w:sz w:val="16"/>
                <w:szCs w:val="16"/>
                <w:b w:val="1"/>
                <w:bCs w:val="1"/>
                <w:color w:val="auto"/>
              </w:rPr>
              <w:t>2026</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519"/>
              <w:spacing w:after="0"/>
              <w:rPr>
                <w:sz w:val="20"/>
                <w:szCs w:val="20"/>
                <w:color w:val="auto"/>
              </w:rPr>
            </w:pPr>
            <w:r>
              <w:rPr>
                <w:rFonts w:ascii="Times New Roman" w:cs="Times New Roman" w:eastAsia="Times New Roman" w:hAnsi="Times New Roman"/>
                <w:sz w:val="16"/>
                <w:szCs w:val="16"/>
                <w:b w:val="1"/>
                <w:bCs w:val="1"/>
                <w:color w:val="auto"/>
              </w:rPr>
              <w:t>2025</w:t>
            </w:r>
          </w:p>
        </w:tc>
      </w:tr>
      <w:tr>
        <w:trPr>
          <w:trHeight w:val="198"/>
        </w:trPr>
        <w:tc>
          <w:tcPr>
            <w:tcW w:w="8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Revenues</w:t>
            </w:r>
          </w:p>
        </w:tc>
        <w:tc>
          <w:tcPr>
            <w:tcW w:w="14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r>
      <w:tr>
        <w:trPr>
          <w:trHeight w:val="213"/>
        </w:trPr>
        <w:tc>
          <w:tcPr>
            <w:tcW w:w="810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Management fees</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302,808</w:t>
            </w:r>
          </w:p>
        </w:tc>
        <w:tc>
          <w:tcPr>
            <w:tcW w:w="100" w:type="dxa"/>
            <w:vAlign w:val="bottom"/>
          </w:tcPr>
          <w:p>
            <w:pPr>
              <w:spacing w:after="0"/>
              <w:rPr>
                <w:sz w:val="18"/>
                <w:szCs w:val="18"/>
                <w:color w:val="auto"/>
              </w:rPr>
            </w:pPr>
          </w:p>
        </w:tc>
        <w:tc>
          <w:tcPr>
            <w:tcW w:w="36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277,147</w:t>
            </w:r>
          </w:p>
        </w:tc>
      </w:tr>
      <w:tr>
        <w:trPr>
          <w:trHeight w:val="219"/>
        </w:trPr>
        <w:tc>
          <w:tcPr>
            <w:tcW w:w="81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Performance fees</w:t>
            </w:r>
          </w:p>
        </w:tc>
        <w:tc>
          <w:tcPr>
            <w:tcW w:w="14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204</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07"/>
        </w:trPr>
        <w:tc>
          <w:tcPr>
            <w:tcW w:w="8100" w:type="dxa"/>
            <w:vAlign w:val="bottom"/>
          </w:tcPr>
          <w:p>
            <w:pPr>
              <w:ind w:left="680"/>
              <w:spacing w:after="0"/>
              <w:rPr>
                <w:sz w:val="20"/>
                <w:szCs w:val="20"/>
                <w:color w:val="auto"/>
              </w:rPr>
            </w:pPr>
            <w:r>
              <w:rPr>
                <w:rFonts w:ascii="Times New Roman" w:cs="Times New Roman" w:eastAsia="Times New Roman" w:hAnsi="Times New Roman"/>
                <w:sz w:val="16"/>
                <w:szCs w:val="16"/>
                <w:color w:val="auto"/>
              </w:rPr>
              <w:t>Total revenues</w:t>
            </w:r>
          </w:p>
        </w:tc>
        <w:tc>
          <w:tcPr>
            <w:tcW w:w="14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303,012</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277,147</w:t>
            </w:r>
          </w:p>
        </w:tc>
      </w:tr>
      <w:tr>
        <w:trPr>
          <w:trHeight w:val="219"/>
        </w:trPr>
        <w:tc>
          <w:tcPr>
            <w:tcW w:w="8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Operating Expenses</w:t>
            </w:r>
          </w:p>
        </w:tc>
        <w:tc>
          <w:tcPr>
            <w:tcW w:w="14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r>
      <w:tr>
        <w:trPr>
          <w:trHeight w:val="213"/>
        </w:trPr>
        <w:tc>
          <w:tcPr>
            <w:tcW w:w="810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Compensation and benefits</w:t>
            </w:r>
          </w:p>
        </w:tc>
        <w:tc>
          <w:tcPr>
            <w:tcW w:w="14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168,713</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155,161</w:t>
            </w:r>
          </w:p>
        </w:tc>
      </w:tr>
      <w:tr>
        <w:trPr>
          <w:trHeight w:val="219"/>
        </w:trPr>
        <w:tc>
          <w:tcPr>
            <w:tcW w:w="81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Distribution, servicing and marketing</w:t>
            </w:r>
          </w:p>
        </w:tc>
        <w:tc>
          <w:tcPr>
            <w:tcW w:w="14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7,480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6,432</w:t>
            </w:r>
          </w:p>
        </w:tc>
      </w:tr>
      <w:tr>
        <w:trPr>
          <w:trHeight w:val="213"/>
        </w:trPr>
        <w:tc>
          <w:tcPr>
            <w:tcW w:w="810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Occupancy</w:t>
            </w:r>
          </w:p>
        </w:tc>
        <w:tc>
          <w:tcPr>
            <w:tcW w:w="14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7,136</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7,378</w:t>
            </w:r>
          </w:p>
        </w:tc>
      </w:tr>
      <w:tr>
        <w:trPr>
          <w:trHeight w:val="219"/>
        </w:trPr>
        <w:tc>
          <w:tcPr>
            <w:tcW w:w="81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Communication and technology</w:t>
            </w:r>
          </w:p>
        </w:tc>
        <w:tc>
          <w:tcPr>
            <w:tcW w:w="14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13,820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12,883</w:t>
            </w:r>
          </w:p>
        </w:tc>
      </w:tr>
      <w:tr>
        <w:trPr>
          <w:trHeight w:val="213"/>
        </w:trPr>
        <w:tc>
          <w:tcPr>
            <w:tcW w:w="810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General and administrative</w:t>
            </w:r>
          </w:p>
        </w:tc>
        <w:tc>
          <w:tcPr>
            <w:tcW w:w="14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11,416</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8,758</w:t>
            </w:r>
          </w:p>
        </w:tc>
      </w:tr>
      <w:tr>
        <w:trPr>
          <w:trHeight w:val="219"/>
        </w:trPr>
        <w:tc>
          <w:tcPr>
            <w:tcW w:w="81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Amortization of intangible assets</w:t>
            </w:r>
          </w:p>
        </w:tc>
        <w:tc>
          <w:tcPr>
            <w:tcW w:w="14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240</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07"/>
        </w:trPr>
        <w:tc>
          <w:tcPr>
            <w:tcW w:w="8100" w:type="dxa"/>
            <w:vAlign w:val="bottom"/>
            <w:tcBorders>
              <w:bottom w:val="single" w:sz="8" w:color="CCEEFF"/>
            </w:tcBorders>
          </w:tcPr>
          <w:p>
            <w:pPr>
              <w:ind w:left="680"/>
              <w:spacing w:after="0"/>
              <w:rPr>
                <w:sz w:val="20"/>
                <w:szCs w:val="20"/>
                <w:color w:val="auto"/>
              </w:rPr>
            </w:pPr>
            <w:r>
              <w:rPr>
                <w:rFonts w:ascii="Times New Roman" w:cs="Times New Roman" w:eastAsia="Times New Roman" w:hAnsi="Times New Roman"/>
                <w:sz w:val="16"/>
                <w:szCs w:val="16"/>
                <w:color w:val="auto"/>
              </w:rPr>
              <w:t>Total operating expenses</w:t>
            </w:r>
          </w:p>
        </w:tc>
        <w:tc>
          <w:tcPr>
            <w:tcW w:w="14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208,805</w:t>
            </w:r>
          </w:p>
        </w:tc>
        <w:tc>
          <w:tcPr>
            <w:tcW w:w="10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190,612</w:t>
            </w:r>
          </w:p>
        </w:tc>
      </w:tr>
      <w:tr>
        <w:trPr>
          <w:trHeight w:val="212"/>
        </w:trPr>
        <w:tc>
          <w:tcPr>
            <w:tcW w:w="810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6"/>
                <w:szCs w:val="16"/>
                <w:color w:val="auto"/>
              </w:rPr>
              <w:t>Total operating income</w:t>
            </w:r>
          </w:p>
        </w:tc>
        <w:tc>
          <w:tcPr>
            <w:tcW w:w="14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94,207</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86,535</w:t>
            </w:r>
          </w:p>
        </w:tc>
      </w:tr>
      <w:tr>
        <w:trPr>
          <w:trHeight w:val="214"/>
        </w:trPr>
        <w:tc>
          <w:tcPr>
            <w:tcW w:w="810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Non-operating income (expense)</w:t>
            </w:r>
          </w:p>
        </w:tc>
        <w:tc>
          <w:tcPr>
            <w:tcW w:w="1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spacing w:after="0"/>
              <w:rPr>
                <w:sz w:val="18"/>
                <w:szCs w:val="18"/>
                <w:color w:val="auto"/>
              </w:rPr>
            </w:pPr>
          </w:p>
        </w:tc>
      </w:tr>
      <w:tr>
        <w:trPr>
          <w:trHeight w:val="218"/>
        </w:trPr>
        <w:tc>
          <w:tcPr>
            <w:tcW w:w="81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Interest expense</w:t>
            </w:r>
          </w:p>
        </w:tc>
        <w:tc>
          <w:tcPr>
            <w:tcW w:w="14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(2,097)</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(2,054)</w:t>
            </w:r>
          </w:p>
        </w:tc>
      </w:tr>
      <w:tr>
        <w:trPr>
          <w:trHeight w:val="213"/>
        </w:trPr>
        <w:tc>
          <w:tcPr>
            <w:tcW w:w="810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Interest income on cash and cash equivalents and other</w:t>
            </w:r>
          </w:p>
        </w:tc>
        <w:tc>
          <w:tcPr>
            <w:tcW w:w="14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1,920</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1,943</w:t>
            </w:r>
          </w:p>
        </w:tc>
      </w:tr>
      <w:tr>
        <w:trPr>
          <w:trHeight w:val="219"/>
        </w:trPr>
        <w:tc>
          <w:tcPr>
            <w:tcW w:w="81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Net investment gain (loss) of consolidated investment products</w:t>
            </w:r>
          </w:p>
        </w:tc>
        <w:tc>
          <w:tcPr>
            <w:tcW w:w="14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(2,561)</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7,101</w:t>
            </w:r>
          </w:p>
        </w:tc>
      </w:tr>
      <w:tr>
        <w:trPr>
          <w:trHeight w:val="213"/>
        </w:trPr>
        <w:tc>
          <w:tcPr>
            <w:tcW w:w="810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6"/>
                <w:szCs w:val="16"/>
                <w:color w:val="auto"/>
              </w:rPr>
              <w:t>Net investment gain (loss) of nonconsolidated investment products</w:t>
            </w:r>
          </w:p>
        </w:tc>
        <w:tc>
          <w:tcPr>
            <w:tcW w:w="14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(5,088)</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3,817</w:t>
            </w:r>
          </w:p>
        </w:tc>
      </w:tr>
      <w:tr>
        <w:trPr>
          <w:trHeight w:val="212"/>
        </w:trPr>
        <w:tc>
          <w:tcPr>
            <w:tcW w:w="810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6"/>
                <w:szCs w:val="16"/>
                <w:color w:val="auto"/>
              </w:rPr>
              <w:t>Total non-operating income (expense)</w:t>
            </w:r>
          </w:p>
        </w:tc>
        <w:tc>
          <w:tcPr>
            <w:tcW w:w="140" w:type="dxa"/>
            <w:vAlign w:val="bottom"/>
            <w:tcBorders>
              <w:bottom w:val="single" w:sz="8" w:color="auto"/>
            </w:tcBorders>
            <w:shd w:val="clear" w:color="auto" w:fill="CCEEFF"/>
          </w:tcPr>
          <w:p>
            <w:pPr>
              <w:spacing w:after="0"/>
              <w:rPr>
                <w:sz w:val="18"/>
                <w:szCs w:val="18"/>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(7,826)</w:t>
            </w:r>
          </w:p>
        </w:tc>
        <w:tc>
          <w:tcPr>
            <w:tcW w:w="10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10,807</w:t>
            </w:r>
          </w:p>
        </w:tc>
      </w:tr>
      <w:tr>
        <w:trPr>
          <w:trHeight w:val="207"/>
        </w:trPr>
        <w:tc>
          <w:tcPr>
            <w:tcW w:w="810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Income before income taxes</w:t>
            </w:r>
          </w:p>
        </w:tc>
        <w:tc>
          <w:tcPr>
            <w:tcW w:w="14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86,381</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97,342</w:t>
            </w:r>
          </w:p>
        </w:tc>
      </w:tr>
      <w:tr>
        <w:trPr>
          <w:trHeight w:val="219"/>
        </w:trPr>
        <w:tc>
          <w:tcPr>
            <w:tcW w:w="81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Provision for income taxes</w:t>
            </w:r>
          </w:p>
        </w:tc>
        <w:tc>
          <w:tcPr>
            <w:tcW w:w="14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18,763</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20,007</w:t>
            </w:r>
          </w:p>
        </w:tc>
      </w:tr>
      <w:tr>
        <w:trPr>
          <w:trHeight w:val="207"/>
        </w:trPr>
        <w:tc>
          <w:tcPr>
            <w:tcW w:w="8100" w:type="dxa"/>
            <w:vAlign w:val="bottom"/>
          </w:tcPr>
          <w:p>
            <w:pPr>
              <w:ind w:left="680"/>
              <w:spacing w:after="0"/>
              <w:rPr>
                <w:sz w:val="20"/>
                <w:szCs w:val="20"/>
                <w:color w:val="auto"/>
              </w:rPr>
            </w:pPr>
            <w:r>
              <w:rPr>
                <w:rFonts w:ascii="Times New Roman" w:cs="Times New Roman" w:eastAsia="Times New Roman" w:hAnsi="Times New Roman"/>
                <w:sz w:val="16"/>
                <w:szCs w:val="16"/>
                <w:color w:val="auto"/>
              </w:rPr>
              <w:t>Net income before noncontrolling interests</w:t>
            </w:r>
          </w:p>
        </w:tc>
        <w:tc>
          <w:tcPr>
            <w:tcW w:w="14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67,618</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77,335</w:t>
            </w:r>
          </w:p>
        </w:tc>
      </w:tr>
      <w:tr>
        <w:trPr>
          <w:trHeight w:val="219"/>
        </w:trPr>
        <w:tc>
          <w:tcPr>
            <w:tcW w:w="810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6"/>
                <w:szCs w:val="16"/>
                <w:color w:val="auto"/>
              </w:rPr>
              <w:t>Less: Net income attributable to noncontrolling interests - Artisan Partners Holdings</w:t>
            </w:r>
          </w:p>
        </w:tc>
        <w:tc>
          <w:tcPr>
            <w:tcW w:w="14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11,125</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11,909</w:t>
            </w:r>
          </w:p>
        </w:tc>
      </w:tr>
      <w:tr>
        <w:trPr>
          <w:trHeight w:val="213"/>
        </w:trPr>
        <w:tc>
          <w:tcPr>
            <w:tcW w:w="8100" w:type="dxa"/>
            <w:vAlign w:val="bottom"/>
            <w:tcBorders>
              <w:bottom w:val="single" w:sz="8" w:color="CCEEFF"/>
            </w:tcBorders>
          </w:tcPr>
          <w:p>
            <w:pPr>
              <w:ind w:left="680"/>
              <w:spacing w:after="0"/>
              <w:rPr>
                <w:sz w:val="20"/>
                <w:szCs w:val="20"/>
                <w:color w:val="auto"/>
              </w:rPr>
            </w:pPr>
            <w:r>
              <w:rPr>
                <w:rFonts w:ascii="Times New Roman" w:cs="Times New Roman" w:eastAsia="Times New Roman" w:hAnsi="Times New Roman"/>
                <w:sz w:val="16"/>
                <w:szCs w:val="16"/>
                <w:color w:val="auto"/>
              </w:rPr>
              <w:t>Less: Net income (loss) attributable to noncontrolling interests - consolidated investment products</w:t>
            </w:r>
          </w:p>
        </w:tc>
        <w:tc>
          <w:tcPr>
            <w:tcW w:w="14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(1,548)</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4,287</w:t>
            </w:r>
          </w:p>
        </w:tc>
      </w:tr>
      <w:tr>
        <w:trPr>
          <w:trHeight w:val="237"/>
        </w:trPr>
        <w:tc>
          <w:tcPr>
            <w:tcW w:w="8100" w:type="dxa"/>
            <w:vAlign w:val="bottom"/>
            <w:tcBorders>
              <w:bottom w:val="single" w:sz="8" w:color="CCEEFF"/>
            </w:tcBorders>
            <w:shd w:val="clear" w:color="auto" w:fill="CCEEFF"/>
          </w:tcPr>
          <w:p>
            <w:pPr>
              <w:ind w:left="680"/>
              <w:spacing w:after="0"/>
              <w:rPr>
                <w:sz w:val="20"/>
                <w:szCs w:val="20"/>
                <w:color w:val="auto"/>
              </w:rPr>
            </w:pPr>
            <w:r>
              <w:rPr>
                <w:rFonts w:ascii="Times New Roman" w:cs="Times New Roman" w:eastAsia="Times New Roman" w:hAnsi="Times New Roman"/>
                <w:sz w:val="16"/>
                <w:szCs w:val="16"/>
                <w:color w:val="auto"/>
              </w:rPr>
              <w:t>Net income attributable to Artisan Partners Asset Management Inc.</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58,041</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61,139</w:t>
            </w:r>
          </w:p>
        </w:tc>
      </w:tr>
      <w:tr>
        <w:trPr>
          <w:trHeight w:val="20"/>
        </w:trPr>
        <w:tc>
          <w:tcPr>
            <w:tcW w:w="8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8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spacing w:after="0"/>
              <w:rPr>
                <w:sz w:val="18"/>
                <w:szCs w:val="18"/>
                <w:color w:val="auto"/>
              </w:rPr>
            </w:pPr>
          </w:p>
        </w:tc>
      </w:tr>
      <w:tr>
        <w:trPr>
          <w:trHeight w:val="216"/>
        </w:trPr>
        <w:tc>
          <w:tcPr>
            <w:tcW w:w="8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Basic earnings per share</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0.76</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0.82</w:t>
            </w:r>
          </w:p>
        </w:tc>
      </w:tr>
      <w:tr>
        <w:trPr>
          <w:trHeight w:val="214"/>
        </w:trPr>
        <w:tc>
          <w:tcPr>
            <w:tcW w:w="810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Diluted earnings per share</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0.76</w:t>
            </w:r>
          </w:p>
        </w:tc>
        <w:tc>
          <w:tcPr>
            <w:tcW w:w="100" w:type="dxa"/>
            <w:vAlign w:val="bottom"/>
          </w:tcPr>
          <w:p>
            <w:pPr>
              <w:spacing w:after="0"/>
              <w:rPr>
                <w:sz w:val="18"/>
                <w:szCs w:val="18"/>
                <w:color w:val="auto"/>
              </w:rPr>
            </w:pPr>
          </w:p>
        </w:tc>
        <w:tc>
          <w:tcPr>
            <w:tcW w:w="36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0.82</w:t>
            </w:r>
          </w:p>
        </w:tc>
      </w:tr>
      <w:tr>
        <w:trPr>
          <w:trHeight w:val="218"/>
        </w:trPr>
        <w:tc>
          <w:tcPr>
            <w:tcW w:w="8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Basic weighted average number of common shares outstanding</w:t>
            </w:r>
          </w:p>
        </w:tc>
        <w:tc>
          <w:tcPr>
            <w:tcW w:w="14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66,125,995</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65,373,285</w:t>
            </w:r>
          </w:p>
        </w:tc>
      </w:tr>
      <w:tr>
        <w:trPr>
          <w:trHeight w:val="214"/>
        </w:trPr>
        <w:tc>
          <w:tcPr>
            <w:tcW w:w="810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Diluted weighted average number of common shares outstanding</w:t>
            </w:r>
          </w:p>
        </w:tc>
        <w:tc>
          <w:tcPr>
            <w:tcW w:w="14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66,125,995</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65,373,285</w:t>
            </w:r>
          </w:p>
        </w:tc>
      </w:tr>
      <w:tr>
        <w:trPr>
          <w:trHeight w:val="218"/>
        </w:trPr>
        <w:tc>
          <w:tcPr>
            <w:tcW w:w="8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Dividends declared per Class A common share</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1.58</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1.34</w:t>
            </w:r>
          </w:p>
        </w:tc>
      </w:tr>
    </w:tbl>
    <w:p>
      <w:pPr>
        <w:spacing w:after="0" w:line="3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The accompanying notes are an integral part of the consolidated financial statements.</w:t>
      </w: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ARTISAN PARTNERS ASSET MANAGEMENT INC.</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Unaudited Consolidated Statements of Comprehensive Income</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(U.S. dollars in thousands)</w:t>
      </w: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8100" w:type="dxa"/>
            <w:vAlign w:val="bottom"/>
          </w:tcPr>
          <w:p>
            <w:pPr>
              <w:spacing w:after="0"/>
              <w:rPr>
                <w:sz w:val="18"/>
                <w:szCs w:val="18"/>
                <w:color w:val="auto"/>
              </w:rPr>
            </w:pPr>
          </w:p>
        </w:tc>
        <w:tc>
          <w:tcPr>
            <w:tcW w:w="3140" w:type="dxa"/>
            <w:vAlign w:val="bottom"/>
            <w:tcBorders>
              <w:bottom w:val="single" w:sz="8" w:color="auto"/>
            </w:tcBorders>
            <w:gridSpan w:val="5"/>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rPr>
              <w:t>For the Three Months Ended March 31,</w:t>
            </w:r>
          </w:p>
        </w:tc>
      </w:tr>
      <w:tr>
        <w:trPr>
          <w:trHeight w:val="211"/>
        </w:trPr>
        <w:tc>
          <w:tcPr>
            <w:tcW w:w="8100" w:type="dxa"/>
            <w:vAlign w:val="bottom"/>
            <w:tcBorders>
              <w:bottom w:val="single" w:sz="8" w:color="CCEEFF"/>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2026</w:t>
            </w:r>
          </w:p>
        </w:tc>
        <w:tc>
          <w:tcPr>
            <w:tcW w:w="56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519"/>
              <w:spacing w:after="0"/>
              <w:rPr>
                <w:sz w:val="20"/>
                <w:szCs w:val="20"/>
                <w:color w:val="auto"/>
              </w:rPr>
            </w:pPr>
            <w:r>
              <w:rPr>
                <w:rFonts w:ascii="Times New Roman" w:cs="Times New Roman" w:eastAsia="Times New Roman" w:hAnsi="Times New Roman"/>
                <w:sz w:val="16"/>
                <w:szCs w:val="16"/>
                <w:b w:val="1"/>
                <w:bCs w:val="1"/>
                <w:color w:val="auto"/>
              </w:rPr>
              <w:t>2025</w:t>
            </w:r>
          </w:p>
        </w:tc>
      </w:tr>
      <w:tr>
        <w:trPr>
          <w:trHeight w:val="211"/>
        </w:trPr>
        <w:tc>
          <w:tcPr>
            <w:tcW w:w="8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income before noncontrolling interests</w:t>
            </w:r>
          </w:p>
        </w:tc>
        <w:tc>
          <w:tcPr>
            <w:tcW w:w="960" w:type="dxa"/>
            <w:vAlign w:val="bottom"/>
            <w:shd w:val="clear" w:color="auto" w:fill="CCEEFF"/>
          </w:tcPr>
          <w:p>
            <w:pPr>
              <w:jc w:val="right"/>
              <w:ind w:right="779"/>
              <w:spacing w:after="0"/>
              <w:rPr>
                <w:sz w:val="20"/>
                <w:szCs w:val="20"/>
                <w:color w:val="auto"/>
              </w:rPr>
            </w:pPr>
            <w:r>
              <w:rPr>
                <w:rFonts w:ascii="Times New Roman" w:cs="Times New Roman" w:eastAsia="Times New Roman" w:hAnsi="Times New Roman"/>
                <w:sz w:val="16"/>
                <w:szCs w:val="16"/>
                <w:color w:val="auto"/>
                <w:w w:val="99"/>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67,618</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77,335</w:t>
            </w:r>
          </w:p>
        </w:tc>
      </w:tr>
      <w:tr>
        <w:trPr>
          <w:trHeight w:val="213"/>
        </w:trPr>
        <w:tc>
          <w:tcPr>
            <w:tcW w:w="81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Other comprehensive income (loss)</w:t>
            </w:r>
          </w:p>
        </w:tc>
        <w:tc>
          <w:tcPr>
            <w:tcW w:w="9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spacing w:after="0"/>
              <w:rPr>
                <w:sz w:val="18"/>
                <w:szCs w:val="18"/>
                <w:color w:val="auto"/>
              </w:rPr>
            </w:pPr>
          </w:p>
        </w:tc>
      </w:tr>
      <w:tr>
        <w:trPr>
          <w:trHeight w:val="219"/>
        </w:trPr>
        <w:tc>
          <w:tcPr>
            <w:tcW w:w="810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rPr>
              <w:t>Foreign currency translation gain (loss)</w:t>
            </w:r>
          </w:p>
        </w:tc>
        <w:tc>
          <w:tcPr>
            <w:tcW w:w="96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(279)</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531</w:t>
            </w:r>
          </w:p>
        </w:tc>
      </w:tr>
      <w:tr>
        <w:trPr>
          <w:trHeight w:val="207"/>
        </w:trPr>
        <w:tc>
          <w:tcPr>
            <w:tcW w:w="81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Total other comprehensive income (loss)</w:t>
            </w:r>
          </w:p>
        </w:tc>
        <w:tc>
          <w:tcPr>
            <w:tcW w:w="96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(279)</w:t>
            </w:r>
          </w:p>
        </w:tc>
        <w:tc>
          <w:tcPr>
            <w:tcW w:w="10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531</w:t>
            </w:r>
          </w:p>
        </w:tc>
      </w:tr>
      <w:tr>
        <w:trPr>
          <w:trHeight w:val="212"/>
        </w:trPr>
        <w:tc>
          <w:tcPr>
            <w:tcW w:w="8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Comprehensive income</w:t>
            </w:r>
          </w:p>
        </w:tc>
        <w:tc>
          <w:tcPr>
            <w:tcW w:w="9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67,339</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77,866</w:t>
            </w:r>
          </w:p>
        </w:tc>
      </w:tr>
      <w:tr>
        <w:trPr>
          <w:trHeight w:val="213"/>
        </w:trPr>
        <w:tc>
          <w:tcPr>
            <w:tcW w:w="8100" w:type="dxa"/>
            <w:vAlign w:val="bottom"/>
          </w:tcPr>
          <w:p>
            <w:pPr>
              <w:ind w:left="520"/>
              <w:spacing w:after="0"/>
              <w:rPr>
                <w:sz w:val="20"/>
                <w:szCs w:val="20"/>
                <w:color w:val="auto"/>
              </w:rPr>
            </w:pPr>
            <w:r>
              <w:rPr>
                <w:rFonts w:ascii="Times New Roman" w:cs="Times New Roman" w:eastAsia="Times New Roman" w:hAnsi="Times New Roman"/>
                <w:sz w:val="16"/>
                <w:szCs w:val="16"/>
                <w:color w:val="auto"/>
              </w:rPr>
              <w:t>Comprehensive income attributable to noncontrolling interests - Artisan Partners Holdings</w:t>
            </w:r>
          </w:p>
        </w:tc>
        <w:tc>
          <w:tcPr>
            <w:tcW w:w="9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11,091</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11,976</w:t>
            </w:r>
          </w:p>
        </w:tc>
      </w:tr>
      <w:tr>
        <w:trPr>
          <w:trHeight w:val="216"/>
        </w:trPr>
        <w:tc>
          <w:tcPr>
            <w:tcW w:w="810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6"/>
                <w:szCs w:val="16"/>
                <w:color w:val="auto"/>
              </w:rPr>
              <w:t>Comprehensive income (loss) attributable to noncontrolling interests - consolidated investment products</w:t>
            </w:r>
          </w:p>
        </w:tc>
        <w:tc>
          <w:tcPr>
            <w:tcW w:w="96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(1,548)</w:t>
            </w:r>
          </w:p>
        </w:tc>
        <w:tc>
          <w:tcPr>
            <w:tcW w:w="10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4,287</w:t>
            </w:r>
          </w:p>
        </w:tc>
      </w:tr>
      <w:tr>
        <w:trPr>
          <w:trHeight w:val="212"/>
        </w:trPr>
        <w:tc>
          <w:tcPr>
            <w:tcW w:w="81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Comprehensive income attributable to Artisan Partners Asset Management Inc.</w:t>
            </w:r>
          </w:p>
        </w:tc>
        <w:tc>
          <w:tcPr>
            <w:tcW w:w="960" w:type="dxa"/>
            <w:vAlign w:val="bottom"/>
            <w:tcBorders>
              <w:bottom w:val="single" w:sz="8" w:color="auto"/>
            </w:tcBorders>
          </w:tcPr>
          <w:p>
            <w:pPr>
              <w:jc w:val="right"/>
              <w:ind w:right="779"/>
              <w:spacing w:after="0"/>
              <w:rPr>
                <w:sz w:val="20"/>
                <w:szCs w:val="20"/>
                <w:color w:val="auto"/>
              </w:rPr>
            </w:pPr>
            <w:r>
              <w:rPr>
                <w:rFonts w:ascii="Times New Roman" w:cs="Times New Roman" w:eastAsia="Times New Roman" w:hAnsi="Times New Roman"/>
                <w:sz w:val="16"/>
                <w:szCs w:val="16"/>
                <w:color w:val="auto"/>
                <w:w w:val="99"/>
              </w:rPr>
              <w:t>$</w:t>
            </w: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57,796</w:t>
            </w:r>
          </w:p>
        </w:tc>
        <w:tc>
          <w:tcPr>
            <w:tcW w:w="100" w:type="dxa"/>
            <w:vAlign w:val="bottom"/>
          </w:tcPr>
          <w:p>
            <w:pPr>
              <w:spacing w:after="0"/>
              <w:rPr>
                <w:sz w:val="18"/>
                <w:szCs w:val="18"/>
                <w:color w:val="auto"/>
              </w:rPr>
            </w:pPr>
          </w:p>
        </w:tc>
        <w:tc>
          <w:tcPr>
            <w:tcW w:w="360" w:type="dxa"/>
            <w:vAlign w:val="bottom"/>
            <w:tcBorders>
              <w:bottom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61,603</w:t>
            </w:r>
          </w:p>
        </w:tc>
      </w:tr>
      <w:tr>
        <w:trPr>
          <w:trHeight w:val="21"/>
        </w:trPr>
        <w:tc>
          <w:tcPr>
            <w:tcW w:w="810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3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The accompanying notes are an integral part of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3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ARTISAN PARTNERS ASSET MANAGEMENT INC.</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Unaudited Consolidated Statements of Changes in Stockholders</w:t>
      </w: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 xml:space="preserve"> Equity</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(U.S. dollars in thousands)</w:t>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5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jc w:val="center"/>
              <w:ind w:right="28"/>
              <w:spacing w:after="0"/>
              <w:rPr>
                <w:sz w:val="20"/>
                <w:szCs w:val="20"/>
                <w:color w:val="auto"/>
              </w:rPr>
            </w:pPr>
            <w:r>
              <w:rPr>
                <w:rFonts w:ascii="Times New Roman" w:cs="Times New Roman" w:eastAsia="Times New Roman" w:hAnsi="Times New Roman"/>
                <w:sz w:val="14"/>
                <w:szCs w:val="14"/>
                <w:color w:val="auto"/>
              </w:rPr>
              <w:t>Class A</w:t>
            </w:r>
          </w:p>
        </w:tc>
        <w:tc>
          <w:tcPr>
            <w:tcW w:w="120" w:type="dxa"/>
            <w:vAlign w:val="bottom"/>
          </w:tcPr>
          <w:p>
            <w:pPr>
              <w:spacing w:after="0"/>
              <w:rPr>
                <w:sz w:val="13"/>
                <w:szCs w:val="13"/>
                <w:color w:val="auto"/>
              </w:rPr>
            </w:pPr>
          </w:p>
        </w:tc>
        <w:tc>
          <w:tcPr>
            <w:tcW w:w="660" w:type="dxa"/>
            <w:vAlign w:val="bottom"/>
          </w:tcPr>
          <w:p>
            <w:pPr>
              <w:jc w:val="center"/>
              <w:ind w:right="28"/>
              <w:spacing w:after="0"/>
              <w:rPr>
                <w:sz w:val="20"/>
                <w:szCs w:val="20"/>
                <w:color w:val="auto"/>
              </w:rPr>
            </w:pPr>
            <w:r>
              <w:rPr>
                <w:rFonts w:ascii="Times New Roman" w:cs="Times New Roman" w:eastAsia="Times New Roman" w:hAnsi="Times New Roman"/>
                <w:sz w:val="14"/>
                <w:szCs w:val="14"/>
                <w:color w:val="auto"/>
              </w:rPr>
              <w:t>Class B</w:t>
            </w:r>
          </w:p>
        </w:tc>
        <w:tc>
          <w:tcPr>
            <w:tcW w:w="120" w:type="dxa"/>
            <w:vAlign w:val="bottom"/>
          </w:tcPr>
          <w:p>
            <w:pPr>
              <w:spacing w:after="0"/>
              <w:rPr>
                <w:sz w:val="13"/>
                <w:szCs w:val="13"/>
                <w:color w:val="auto"/>
              </w:rPr>
            </w:pPr>
          </w:p>
        </w:tc>
        <w:tc>
          <w:tcPr>
            <w:tcW w:w="680" w:type="dxa"/>
            <w:vAlign w:val="bottom"/>
          </w:tcPr>
          <w:p>
            <w:pPr>
              <w:jc w:val="center"/>
              <w:ind w:right="48"/>
              <w:spacing w:after="0"/>
              <w:rPr>
                <w:sz w:val="20"/>
                <w:szCs w:val="20"/>
                <w:color w:val="auto"/>
              </w:rPr>
            </w:pPr>
            <w:r>
              <w:rPr>
                <w:rFonts w:ascii="Times New Roman" w:cs="Times New Roman" w:eastAsia="Times New Roman" w:hAnsi="Times New Roman"/>
                <w:sz w:val="14"/>
                <w:szCs w:val="14"/>
                <w:color w:val="auto"/>
              </w:rPr>
              <w:t>Class C</w:t>
            </w:r>
          </w:p>
        </w:tc>
        <w:tc>
          <w:tcPr>
            <w:tcW w:w="100" w:type="dxa"/>
            <w:vAlign w:val="bottom"/>
          </w:tcPr>
          <w:p>
            <w:pPr>
              <w:spacing w:after="0"/>
              <w:rPr>
                <w:sz w:val="13"/>
                <w:szCs w:val="13"/>
                <w:color w:val="auto"/>
              </w:rPr>
            </w:pPr>
          </w:p>
        </w:tc>
        <w:tc>
          <w:tcPr>
            <w:tcW w:w="760" w:type="dxa"/>
            <w:vAlign w:val="bottom"/>
          </w:tcPr>
          <w:p>
            <w:pPr>
              <w:jc w:val="center"/>
              <w:ind w:right="28"/>
              <w:spacing w:after="0"/>
              <w:rPr>
                <w:sz w:val="20"/>
                <w:szCs w:val="20"/>
                <w:color w:val="auto"/>
              </w:rPr>
            </w:pPr>
            <w:r>
              <w:rPr>
                <w:rFonts w:ascii="Times New Roman" w:cs="Times New Roman" w:eastAsia="Times New Roman" w:hAnsi="Times New Roman"/>
                <w:sz w:val="14"/>
                <w:szCs w:val="14"/>
                <w:color w:val="auto"/>
              </w:rPr>
              <w:t>Additional</w:t>
            </w:r>
          </w:p>
        </w:tc>
        <w:tc>
          <w:tcPr>
            <w:tcW w:w="120" w:type="dxa"/>
            <w:vAlign w:val="bottom"/>
          </w:tcPr>
          <w:p>
            <w:pPr>
              <w:spacing w:after="0"/>
              <w:rPr>
                <w:sz w:val="13"/>
                <w:szCs w:val="13"/>
                <w:color w:val="auto"/>
              </w:rPr>
            </w:pPr>
          </w:p>
        </w:tc>
        <w:tc>
          <w:tcPr>
            <w:tcW w:w="64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Retained</w:t>
            </w:r>
          </w:p>
        </w:tc>
        <w:tc>
          <w:tcPr>
            <w:tcW w:w="1240" w:type="dxa"/>
            <w:vAlign w:val="bottom"/>
            <w:gridSpan w:val="2"/>
          </w:tcPr>
          <w:p>
            <w:pPr>
              <w:jc w:val="center"/>
              <w:spacing w:after="0"/>
              <w:rPr>
                <w:sz w:val="20"/>
                <w:szCs w:val="20"/>
                <w:color w:val="auto"/>
              </w:rPr>
            </w:pPr>
            <w:r>
              <w:rPr>
                <w:rFonts w:ascii="Times New Roman" w:cs="Times New Roman" w:eastAsia="Times New Roman" w:hAnsi="Times New Roman"/>
                <w:sz w:val="14"/>
                <w:szCs w:val="14"/>
                <w:color w:val="auto"/>
              </w:rPr>
              <w:t>Accumulated Other</w:t>
            </w:r>
          </w:p>
        </w:tc>
        <w:tc>
          <w:tcPr>
            <w:tcW w:w="140" w:type="dxa"/>
            <w:vAlign w:val="bottom"/>
          </w:tcPr>
          <w:p>
            <w:pPr>
              <w:spacing w:after="0"/>
              <w:rPr>
                <w:sz w:val="13"/>
                <w:szCs w:val="13"/>
                <w:color w:val="auto"/>
              </w:rPr>
            </w:pPr>
          </w:p>
        </w:tc>
        <w:tc>
          <w:tcPr>
            <w:tcW w:w="1060" w:type="dxa"/>
            <w:vAlign w:val="bottom"/>
          </w:tcPr>
          <w:p>
            <w:pPr>
              <w:jc w:val="center"/>
              <w:ind w:right="28"/>
              <w:spacing w:after="0"/>
              <w:rPr>
                <w:sz w:val="20"/>
                <w:szCs w:val="20"/>
                <w:color w:val="auto"/>
              </w:rPr>
            </w:pPr>
            <w:r>
              <w:rPr>
                <w:rFonts w:ascii="Times New Roman" w:cs="Times New Roman" w:eastAsia="Times New Roman" w:hAnsi="Times New Roman"/>
                <w:sz w:val="14"/>
                <w:szCs w:val="14"/>
                <w:color w:val="auto"/>
              </w:rPr>
              <w:t>Noncontrolling</w:t>
            </w:r>
          </w:p>
        </w:tc>
        <w:tc>
          <w:tcPr>
            <w:tcW w:w="140" w:type="dxa"/>
            <w:vAlign w:val="bottom"/>
          </w:tcPr>
          <w:p>
            <w:pPr>
              <w:spacing w:after="0"/>
              <w:rPr>
                <w:sz w:val="13"/>
                <w:szCs w:val="13"/>
                <w:color w:val="auto"/>
              </w:rPr>
            </w:pPr>
          </w:p>
        </w:tc>
        <w:tc>
          <w:tcPr>
            <w:tcW w:w="980" w:type="dxa"/>
            <w:vAlign w:val="bottom"/>
          </w:tcPr>
          <w:p>
            <w:pPr>
              <w:jc w:val="center"/>
              <w:ind w:right="48"/>
              <w:spacing w:after="0"/>
              <w:rPr>
                <w:sz w:val="20"/>
                <w:szCs w:val="20"/>
                <w:color w:val="auto"/>
              </w:rPr>
            </w:pPr>
            <w:r>
              <w:rPr>
                <w:rFonts w:ascii="Times New Roman" w:cs="Times New Roman" w:eastAsia="Times New Roman" w:hAnsi="Times New Roman"/>
                <w:sz w:val="14"/>
                <w:szCs w:val="14"/>
                <w:color w:val="auto"/>
              </w:rPr>
              <w:t>Total</w:t>
            </w:r>
          </w:p>
        </w:tc>
        <w:tc>
          <w:tcPr>
            <w:tcW w:w="120" w:type="dxa"/>
            <w:vAlign w:val="bottom"/>
          </w:tcPr>
          <w:p>
            <w:pPr>
              <w:spacing w:after="0"/>
              <w:rPr>
                <w:sz w:val="13"/>
                <w:szCs w:val="13"/>
                <w:color w:val="auto"/>
              </w:rPr>
            </w:pPr>
          </w:p>
        </w:tc>
        <w:tc>
          <w:tcPr>
            <w:tcW w:w="1080" w:type="dxa"/>
            <w:vAlign w:val="bottom"/>
          </w:tcPr>
          <w:p>
            <w:pPr>
              <w:jc w:val="center"/>
              <w:ind w:right="48"/>
              <w:spacing w:after="0"/>
              <w:rPr>
                <w:sz w:val="20"/>
                <w:szCs w:val="20"/>
                <w:color w:val="auto"/>
              </w:rPr>
            </w:pPr>
            <w:r>
              <w:rPr>
                <w:rFonts w:ascii="Times New Roman" w:cs="Times New Roman" w:eastAsia="Times New Roman" w:hAnsi="Times New Roman"/>
                <w:sz w:val="14"/>
                <w:szCs w:val="14"/>
                <w:color w:val="auto"/>
              </w:rPr>
              <w:t>Redeemable</w:t>
            </w:r>
          </w:p>
        </w:tc>
        <w:tc>
          <w:tcPr>
            <w:tcW w:w="0" w:type="dxa"/>
            <w:vAlign w:val="bottom"/>
          </w:tcPr>
          <w:p>
            <w:pPr>
              <w:spacing w:after="0"/>
              <w:rPr>
                <w:sz w:val="1"/>
                <w:szCs w:val="1"/>
                <w:color w:val="auto"/>
              </w:rPr>
            </w:pPr>
          </w:p>
        </w:tc>
      </w:tr>
      <w:tr>
        <w:trPr>
          <w:trHeight w:val="144"/>
        </w:trPr>
        <w:tc>
          <w:tcPr>
            <w:tcW w:w="250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Three months ended March 31, 2026</w:t>
            </w:r>
          </w:p>
        </w:tc>
        <w:tc>
          <w:tcPr>
            <w:tcW w:w="120" w:type="dxa"/>
            <w:vAlign w:val="bottom"/>
          </w:tcPr>
          <w:p>
            <w:pPr>
              <w:spacing w:after="0"/>
              <w:rPr>
                <w:sz w:val="12"/>
                <w:szCs w:val="12"/>
                <w:color w:val="auto"/>
              </w:rPr>
            </w:pPr>
          </w:p>
        </w:tc>
        <w:tc>
          <w:tcPr>
            <w:tcW w:w="660" w:type="dxa"/>
            <w:vAlign w:val="bottom"/>
          </w:tcPr>
          <w:p>
            <w:pPr>
              <w:jc w:val="center"/>
              <w:ind w:right="48"/>
              <w:spacing w:after="0" w:line="145" w:lineRule="exact"/>
              <w:rPr>
                <w:sz w:val="20"/>
                <w:szCs w:val="20"/>
                <w:color w:val="auto"/>
              </w:rPr>
            </w:pPr>
            <w:r>
              <w:rPr>
                <w:rFonts w:ascii="Times New Roman" w:cs="Times New Roman" w:eastAsia="Times New Roman" w:hAnsi="Times New Roman"/>
                <w:sz w:val="14"/>
                <w:szCs w:val="14"/>
                <w:color w:val="auto"/>
              </w:rPr>
              <w:t>Common</w:t>
            </w:r>
          </w:p>
        </w:tc>
        <w:tc>
          <w:tcPr>
            <w:tcW w:w="120" w:type="dxa"/>
            <w:vAlign w:val="bottom"/>
          </w:tcPr>
          <w:p>
            <w:pPr>
              <w:spacing w:after="0"/>
              <w:rPr>
                <w:sz w:val="12"/>
                <w:szCs w:val="12"/>
                <w:color w:val="auto"/>
              </w:rPr>
            </w:pPr>
          </w:p>
        </w:tc>
        <w:tc>
          <w:tcPr>
            <w:tcW w:w="660" w:type="dxa"/>
            <w:vAlign w:val="bottom"/>
          </w:tcPr>
          <w:p>
            <w:pPr>
              <w:jc w:val="center"/>
              <w:ind w:right="28"/>
              <w:spacing w:after="0" w:line="145" w:lineRule="exact"/>
              <w:rPr>
                <w:sz w:val="20"/>
                <w:szCs w:val="20"/>
                <w:color w:val="auto"/>
              </w:rPr>
            </w:pPr>
            <w:r>
              <w:rPr>
                <w:rFonts w:ascii="Times New Roman" w:cs="Times New Roman" w:eastAsia="Times New Roman" w:hAnsi="Times New Roman"/>
                <w:sz w:val="14"/>
                <w:szCs w:val="14"/>
                <w:color w:val="auto"/>
                <w:w w:val="99"/>
              </w:rPr>
              <w:t>Common</w:t>
            </w:r>
          </w:p>
        </w:tc>
        <w:tc>
          <w:tcPr>
            <w:tcW w:w="120" w:type="dxa"/>
            <w:vAlign w:val="bottom"/>
          </w:tcPr>
          <w:p>
            <w:pPr>
              <w:spacing w:after="0"/>
              <w:rPr>
                <w:sz w:val="12"/>
                <w:szCs w:val="12"/>
                <w:color w:val="auto"/>
              </w:rPr>
            </w:pPr>
          </w:p>
        </w:tc>
        <w:tc>
          <w:tcPr>
            <w:tcW w:w="680" w:type="dxa"/>
            <w:vAlign w:val="bottom"/>
          </w:tcPr>
          <w:p>
            <w:pPr>
              <w:jc w:val="center"/>
              <w:ind w:right="28"/>
              <w:spacing w:after="0" w:line="145" w:lineRule="exact"/>
              <w:rPr>
                <w:sz w:val="20"/>
                <w:szCs w:val="20"/>
                <w:color w:val="auto"/>
              </w:rPr>
            </w:pPr>
            <w:r>
              <w:rPr>
                <w:rFonts w:ascii="Times New Roman" w:cs="Times New Roman" w:eastAsia="Times New Roman" w:hAnsi="Times New Roman"/>
                <w:sz w:val="14"/>
                <w:szCs w:val="14"/>
                <w:color w:val="auto"/>
              </w:rPr>
              <w:t>Common</w:t>
            </w:r>
          </w:p>
        </w:tc>
        <w:tc>
          <w:tcPr>
            <w:tcW w:w="100" w:type="dxa"/>
            <w:vAlign w:val="bottom"/>
          </w:tcPr>
          <w:p>
            <w:pPr>
              <w:spacing w:after="0"/>
              <w:rPr>
                <w:sz w:val="12"/>
                <w:szCs w:val="12"/>
                <w:color w:val="auto"/>
              </w:rPr>
            </w:pPr>
          </w:p>
        </w:tc>
        <w:tc>
          <w:tcPr>
            <w:tcW w:w="760" w:type="dxa"/>
            <w:vAlign w:val="bottom"/>
          </w:tcPr>
          <w:p>
            <w:pPr>
              <w:jc w:val="center"/>
              <w:ind w:right="28"/>
              <w:spacing w:after="0" w:line="145" w:lineRule="exact"/>
              <w:rPr>
                <w:sz w:val="20"/>
                <w:szCs w:val="20"/>
                <w:color w:val="auto"/>
              </w:rPr>
            </w:pPr>
            <w:r>
              <w:rPr>
                <w:rFonts w:ascii="Times New Roman" w:cs="Times New Roman" w:eastAsia="Times New Roman" w:hAnsi="Times New Roman"/>
                <w:sz w:val="14"/>
                <w:szCs w:val="14"/>
                <w:color w:val="auto"/>
              </w:rPr>
              <w:t>Paid-in</w:t>
            </w:r>
          </w:p>
        </w:tc>
        <w:tc>
          <w:tcPr>
            <w:tcW w:w="120" w:type="dxa"/>
            <w:vAlign w:val="bottom"/>
          </w:tcPr>
          <w:p>
            <w:pPr>
              <w:spacing w:after="0"/>
              <w:rPr>
                <w:sz w:val="12"/>
                <w:szCs w:val="12"/>
                <w:color w:val="auto"/>
              </w:rPr>
            </w:pPr>
          </w:p>
        </w:tc>
        <w:tc>
          <w:tcPr>
            <w:tcW w:w="64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tcPr>
          <w:p>
            <w:pPr>
              <w:jc w:val="center"/>
              <w:ind w:right="48"/>
              <w:spacing w:after="0" w:line="145" w:lineRule="exact"/>
              <w:rPr>
                <w:sz w:val="20"/>
                <w:szCs w:val="20"/>
                <w:color w:val="auto"/>
              </w:rPr>
            </w:pPr>
            <w:r>
              <w:rPr>
                <w:rFonts w:ascii="Times New Roman" w:cs="Times New Roman" w:eastAsia="Times New Roman" w:hAnsi="Times New Roman"/>
                <w:sz w:val="14"/>
                <w:szCs w:val="14"/>
                <w:color w:val="auto"/>
              </w:rPr>
              <w:t>Comprehensive</w:t>
            </w:r>
          </w:p>
        </w:tc>
        <w:tc>
          <w:tcPr>
            <w:tcW w:w="1200" w:type="dxa"/>
            <w:vAlign w:val="bottom"/>
            <w:gridSpan w:val="2"/>
          </w:tcPr>
          <w:p>
            <w:pPr>
              <w:jc w:val="center"/>
              <w:spacing w:after="0" w:line="145" w:lineRule="exact"/>
              <w:rPr>
                <w:sz w:val="20"/>
                <w:szCs w:val="20"/>
                <w:color w:val="auto"/>
              </w:rPr>
            </w:pPr>
            <w:r>
              <w:rPr>
                <w:rFonts w:ascii="Times New Roman" w:cs="Times New Roman" w:eastAsia="Times New Roman" w:hAnsi="Times New Roman"/>
                <w:sz w:val="14"/>
                <w:szCs w:val="14"/>
                <w:color w:val="auto"/>
              </w:rPr>
              <w:t>Interests - Artisan</w:t>
            </w:r>
          </w:p>
        </w:tc>
        <w:tc>
          <w:tcPr>
            <w:tcW w:w="140" w:type="dxa"/>
            <w:vAlign w:val="bottom"/>
          </w:tcPr>
          <w:p>
            <w:pPr>
              <w:spacing w:after="0"/>
              <w:rPr>
                <w:sz w:val="12"/>
                <w:szCs w:val="12"/>
                <w:color w:val="auto"/>
              </w:rPr>
            </w:pPr>
          </w:p>
        </w:tc>
        <w:tc>
          <w:tcPr>
            <w:tcW w:w="980" w:type="dxa"/>
            <w:vAlign w:val="bottom"/>
          </w:tcPr>
          <w:p>
            <w:pPr>
              <w:jc w:val="center"/>
              <w:ind w:right="68"/>
              <w:spacing w:after="0" w:line="145" w:lineRule="exact"/>
              <w:rPr>
                <w:sz w:val="20"/>
                <w:szCs w:val="20"/>
                <w:color w:val="auto"/>
              </w:rPr>
            </w:pPr>
            <w:r>
              <w:rPr>
                <w:rFonts w:ascii="Times New Roman" w:cs="Times New Roman" w:eastAsia="Times New Roman" w:hAnsi="Times New Roman"/>
                <w:sz w:val="14"/>
                <w:szCs w:val="14"/>
                <w:color w:val="auto"/>
              </w:rPr>
              <w:t>Stockholders’</w:t>
            </w:r>
          </w:p>
        </w:tc>
        <w:tc>
          <w:tcPr>
            <w:tcW w:w="120" w:type="dxa"/>
            <w:vAlign w:val="bottom"/>
          </w:tcPr>
          <w:p>
            <w:pPr>
              <w:spacing w:after="0"/>
              <w:rPr>
                <w:sz w:val="12"/>
                <w:szCs w:val="12"/>
                <w:color w:val="auto"/>
              </w:rPr>
            </w:pPr>
          </w:p>
        </w:tc>
        <w:tc>
          <w:tcPr>
            <w:tcW w:w="1080" w:type="dxa"/>
            <w:vAlign w:val="bottom"/>
          </w:tcPr>
          <w:p>
            <w:pPr>
              <w:jc w:val="center"/>
              <w:ind w:right="48"/>
              <w:spacing w:after="0" w:line="145" w:lineRule="exact"/>
              <w:rPr>
                <w:sz w:val="20"/>
                <w:szCs w:val="20"/>
                <w:color w:val="auto"/>
              </w:rPr>
            </w:pPr>
            <w:r>
              <w:rPr>
                <w:rFonts w:ascii="Times New Roman" w:cs="Times New Roman" w:eastAsia="Times New Roman" w:hAnsi="Times New Roman"/>
                <w:sz w:val="14"/>
                <w:szCs w:val="14"/>
                <w:color w:val="auto"/>
              </w:rPr>
              <w:t>Noncontrolling</w:t>
            </w:r>
          </w:p>
        </w:tc>
        <w:tc>
          <w:tcPr>
            <w:tcW w:w="0" w:type="dxa"/>
            <w:vAlign w:val="bottom"/>
          </w:tcPr>
          <w:p>
            <w:pPr>
              <w:spacing w:after="0"/>
              <w:rPr>
                <w:sz w:val="1"/>
                <w:szCs w:val="1"/>
                <w:color w:val="auto"/>
              </w:rPr>
            </w:pPr>
          </w:p>
        </w:tc>
      </w:tr>
      <w:tr>
        <w:trPr>
          <w:trHeight w:val="198"/>
        </w:trPr>
        <w:tc>
          <w:tcPr>
            <w:tcW w:w="2500" w:type="dxa"/>
            <w:vAlign w:val="bottom"/>
            <w:tcBorders>
              <w:bottom w:val="single" w:sz="8" w:color="CCEEFF"/>
            </w:tcBorders>
            <w:vMerge w:val="continue"/>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center"/>
              <w:ind w:right="28"/>
              <w:spacing w:after="0"/>
              <w:rPr>
                <w:sz w:val="20"/>
                <w:szCs w:val="20"/>
                <w:color w:val="auto"/>
              </w:rPr>
            </w:pPr>
            <w:r>
              <w:rPr>
                <w:rFonts w:ascii="Times New Roman" w:cs="Times New Roman" w:eastAsia="Times New Roman" w:hAnsi="Times New Roman"/>
                <w:sz w:val="14"/>
                <w:szCs w:val="14"/>
                <w:color w:val="auto"/>
              </w:rPr>
              <w:t>Stock</w:t>
            </w:r>
          </w:p>
        </w:tc>
        <w:tc>
          <w:tcPr>
            <w:tcW w:w="12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center"/>
              <w:ind w:right="28"/>
              <w:spacing w:after="0"/>
              <w:rPr>
                <w:sz w:val="20"/>
                <w:szCs w:val="20"/>
                <w:color w:val="auto"/>
              </w:rPr>
            </w:pPr>
            <w:r>
              <w:rPr>
                <w:rFonts w:ascii="Times New Roman" w:cs="Times New Roman" w:eastAsia="Times New Roman" w:hAnsi="Times New Roman"/>
                <w:sz w:val="14"/>
                <w:szCs w:val="14"/>
                <w:color w:val="auto"/>
              </w:rPr>
              <w:t>Stock</w:t>
            </w:r>
          </w:p>
        </w:tc>
        <w:tc>
          <w:tcPr>
            <w:tcW w:w="12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center"/>
              <w:ind w:right="48"/>
              <w:spacing w:after="0"/>
              <w:rPr>
                <w:sz w:val="20"/>
                <w:szCs w:val="20"/>
                <w:color w:val="auto"/>
              </w:rPr>
            </w:pPr>
            <w:r>
              <w:rPr>
                <w:rFonts w:ascii="Times New Roman" w:cs="Times New Roman" w:eastAsia="Times New Roman" w:hAnsi="Times New Roman"/>
                <w:sz w:val="14"/>
                <w:szCs w:val="14"/>
                <w:color w:val="auto"/>
              </w:rPr>
              <w:t>Stock</w:t>
            </w:r>
          </w:p>
        </w:tc>
        <w:tc>
          <w:tcPr>
            <w:tcW w:w="10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center"/>
              <w:ind w:right="28"/>
              <w:spacing w:after="0"/>
              <w:rPr>
                <w:sz w:val="20"/>
                <w:szCs w:val="20"/>
                <w:color w:val="auto"/>
              </w:rPr>
            </w:pPr>
            <w:r>
              <w:rPr>
                <w:rFonts w:ascii="Times New Roman" w:cs="Times New Roman" w:eastAsia="Times New Roman" w:hAnsi="Times New Roman"/>
                <w:sz w:val="14"/>
                <w:szCs w:val="14"/>
                <w:color w:val="auto"/>
              </w:rPr>
              <w:t>Capital</w:t>
            </w:r>
          </w:p>
        </w:tc>
        <w:tc>
          <w:tcPr>
            <w:tcW w:w="12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Earnings</w:t>
            </w:r>
          </w:p>
        </w:tc>
        <w:tc>
          <w:tcPr>
            <w:tcW w:w="1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center"/>
              <w:ind w:right="48"/>
              <w:spacing w:after="0"/>
              <w:rPr>
                <w:sz w:val="20"/>
                <w:szCs w:val="20"/>
                <w:color w:val="auto"/>
              </w:rPr>
            </w:pPr>
            <w:r>
              <w:rPr>
                <w:rFonts w:ascii="Times New Roman" w:cs="Times New Roman" w:eastAsia="Times New Roman" w:hAnsi="Times New Roman"/>
                <w:sz w:val="14"/>
                <w:szCs w:val="14"/>
                <w:color w:val="auto"/>
              </w:rPr>
              <w:t>Income (Loss)</w:t>
            </w:r>
          </w:p>
        </w:tc>
        <w:tc>
          <w:tcPr>
            <w:tcW w:w="120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color w:val="auto"/>
              </w:rPr>
              <w:t>Partners Holdings</w:t>
            </w:r>
          </w:p>
        </w:tc>
        <w:tc>
          <w:tcPr>
            <w:tcW w:w="14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center"/>
              <w:ind w:right="48"/>
              <w:spacing w:after="0"/>
              <w:rPr>
                <w:sz w:val="20"/>
                <w:szCs w:val="20"/>
                <w:color w:val="auto"/>
              </w:rPr>
            </w:pPr>
            <w:r>
              <w:rPr>
                <w:rFonts w:ascii="Times New Roman" w:cs="Times New Roman" w:eastAsia="Times New Roman" w:hAnsi="Times New Roman"/>
                <w:sz w:val="14"/>
                <w:szCs w:val="14"/>
                <w:color w:val="auto"/>
              </w:rPr>
              <w:t>Equity</w:t>
            </w:r>
          </w:p>
        </w:tc>
        <w:tc>
          <w:tcPr>
            <w:tcW w:w="1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center"/>
              <w:ind w:right="48"/>
              <w:spacing w:after="0"/>
              <w:rPr>
                <w:sz w:val="20"/>
                <w:szCs w:val="20"/>
                <w:color w:val="auto"/>
              </w:rPr>
            </w:pPr>
            <w:r>
              <w:rPr>
                <w:rFonts w:ascii="Times New Roman" w:cs="Times New Roman" w:eastAsia="Times New Roman" w:hAnsi="Times New Roman"/>
                <w:sz w:val="14"/>
                <w:szCs w:val="14"/>
                <w:color w:val="auto"/>
              </w:rPr>
              <w:t>Interests</w:t>
            </w:r>
          </w:p>
        </w:tc>
        <w:tc>
          <w:tcPr>
            <w:tcW w:w="0" w:type="dxa"/>
            <w:vAlign w:val="bottom"/>
          </w:tcPr>
          <w:p>
            <w:pPr>
              <w:spacing w:after="0"/>
              <w:rPr>
                <w:sz w:val="1"/>
                <w:szCs w:val="1"/>
                <w:color w:val="auto"/>
              </w:rPr>
            </w:pPr>
          </w:p>
        </w:tc>
      </w:tr>
      <w:tr>
        <w:trPr>
          <w:trHeight w:val="201"/>
        </w:trPr>
        <w:tc>
          <w:tcPr>
            <w:tcW w:w="2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 at January 1, 2026</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705</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Borders>
              <w:bottom w:val="single" w:sz="8" w:color="auto"/>
            </w:tcBorders>
            <w:shd w:val="clear" w:color="auto" w:fill="CCEEFF"/>
          </w:tcPr>
          <w:p>
            <w:pPr>
              <w:ind w:left="480"/>
              <w:spacing w:after="0"/>
              <w:rPr>
                <w:sz w:val="20"/>
                <w:szCs w:val="20"/>
                <w:color w:val="auto"/>
              </w:rPr>
            </w:pPr>
            <w:r>
              <w:rPr>
                <w:rFonts w:ascii="Times New Roman" w:cs="Times New Roman" w:eastAsia="Times New Roman" w:hAnsi="Times New Roman"/>
                <w:sz w:val="14"/>
                <w:szCs w:val="14"/>
                <w:color w:val="auto"/>
              </w:rPr>
              <w:t>11</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91</w:t>
            </w: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236,327</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203,386</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(1,689)</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39,325</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478,156</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304,263</w:t>
            </w:r>
          </w:p>
        </w:tc>
        <w:tc>
          <w:tcPr>
            <w:tcW w:w="0" w:type="dxa"/>
            <w:vAlign w:val="bottom"/>
          </w:tcPr>
          <w:p>
            <w:pPr>
              <w:spacing w:after="0"/>
              <w:rPr>
                <w:sz w:val="1"/>
                <w:szCs w:val="1"/>
                <w:color w:val="auto"/>
              </w:rPr>
            </w:pPr>
          </w:p>
        </w:tc>
      </w:tr>
      <w:tr>
        <w:trPr>
          <w:trHeight w:val="189"/>
        </w:trPr>
        <w:tc>
          <w:tcPr>
            <w:tcW w:w="25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income</w:t>
            </w:r>
          </w:p>
        </w:tc>
        <w:tc>
          <w:tcPr>
            <w:tcW w:w="12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660" w:type="dxa"/>
            <w:vAlign w:val="bottom"/>
          </w:tcPr>
          <w:p>
            <w:pPr>
              <w:ind w:left="4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58,041</w:t>
            </w:r>
          </w:p>
        </w:tc>
        <w:tc>
          <w:tcPr>
            <w:tcW w:w="1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11,125</w:t>
            </w:r>
          </w:p>
        </w:tc>
        <w:tc>
          <w:tcPr>
            <w:tcW w:w="14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69,166</w:t>
            </w:r>
          </w:p>
        </w:tc>
        <w:tc>
          <w:tcPr>
            <w:tcW w:w="12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(1,548)</w:t>
            </w:r>
          </w:p>
        </w:tc>
        <w:tc>
          <w:tcPr>
            <w:tcW w:w="0" w:type="dxa"/>
            <w:vAlign w:val="bottom"/>
          </w:tcPr>
          <w:p>
            <w:pPr>
              <w:spacing w:after="0"/>
              <w:rPr>
                <w:sz w:val="1"/>
                <w:szCs w:val="1"/>
                <w:color w:val="auto"/>
              </w:rPr>
            </w:pPr>
          </w:p>
        </w:tc>
      </w:tr>
      <w:tr>
        <w:trPr>
          <w:trHeight w:val="146"/>
        </w:trPr>
        <w:tc>
          <w:tcPr>
            <w:tcW w:w="2500" w:type="dxa"/>
            <w:vAlign w:val="bottom"/>
            <w:shd w:val="clear" w:color="auto" w:fill="CCEEFF"/>
          </w:tcPr>
          <w:p>
            <w:pPr>
              <w:ind w:left="20"/>
              <w:spacing w:after="0" w:line="147" w:lineRule="exact"/>
              <w:rPr>
                <w:sz w:val="20"/>
                <w:szCs w:val="20"/>
                <w:color w:val="auto"/>
              </w:rPr>
            </w:pPr>
            <w:r>
              <w:rPr>
                <w:rFonts w:ascii="Times New Roman" w:cs="Times New Roman" w:eastAsia="Times New Roman" w:hAnsi="Times New Roman"/>
                <w:sz w:val="14"/>
                <w:szCs w:val="14"/>
                <w:color w:val="auto"/>
              </w:rPr>
              <w:t>Other comprehensive income - foreign</w:t>
            </w:r>
          </w:p>
        </w:tc>
        <w:tc>
          <w:tcPr>
            <w:tcW w:w="120" w:type="dxa"/>
            <w:vAlign w:val="bottom"/>
            <w:shd w:val="clear" w:color="auto" w:fill="CCEEFF"/>
          </w:tcPr>
          <w:p>
            <w:pPr>
              <w:spacing w:after="0"/>
              <w:rPr>
                <w:sz w:val="12"/>
                <w:szCs w:val="12"/>
                <w:color w:val="auto"/>
              </w:rPr>
            </w:pPr>
          </w:p>
        </w:tc>
        <w:tc>
          <w:tcPr>
            <w:tcW w:w="6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660" w:type="dxa"/>
            <w:vAlign w:val="bottom"/>
            <w:vMerge w:val="restart"/>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6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6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1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(245)</w:t>
            </w:r>
          </w:p>
        </w:tc>
        <w:tc>
          <w:tcPr>
            <w:tcW w:w="140" w:type="dxa"/>
            <w:vAlign w:val="bottom"/>
            <w:shd w:val="clear" w:color="auto" w:fill="CCEEFF"/>
          </w:tcPr>
          <w:p>
            <w:pPr>
              <w:spacing w:after="0"/>
              <w:rPr>
                <w:sz w:val="12"/>
                <w:szCs w:val="12"/>
                <w:color w:val="auto"/>
              </w:rPr>
            </w:pPr>
          </w:p>
        </w:tc>
        <w:tc>
          <w:tcPr>
            <w:tcW w:w="10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w:t>
            </w:r>
          </w:p>
        </w:tc>
        <w:tc>
          <w:tcPr>
            <w:tcW w:w="140" w:type="dxa"/>
            <w:vAlign w:val="bottom"/>
            <w:shd w:val="clear" w:color="auto" w:fill="CCEEFF"/>
          </w:tcPr>
          <w:p>
            <w:pPr>
              <w:spacing w:after="0"/>
              <w:rPr>
                <w:sz w:val="12"/>
                <w:szCs w:val="12"/>
                <w:color w:val="auto"/>
              </w:rPr>
            </w:pPr>
          </w:p>
        </w:tc>
        <w:tc>
          <w:tcPr>
            <w:tcW w:w="9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(279)</w:t>
            </w:r>
          </w:p>
        </w:tc>
        <w:tc>
          <w:tcPr>
            <w:tcW w:w="120" w:type="dxa"/>
            <w:vAlign w:val="bottom"/>
            <w:shd w:val="clear" w:color="auto" w:fill="CCEEFF"/>
          </w:tcPr>
          <w:p>
            <w:pPr>
              <w:spacing w:after="0"/>
              <w:rPr>
                <w:sz w:val="12"/>
                <w:szCs w:val="12"/>
                <w:color w:val="auto"/>
              </w:rPr>
            </w:pPr>
          </w:p>
        </w:tc>
        <w:tc>
          <w:tcPr>
            <w:tcW w:w="10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8"/>
        </w:trPr>
        <w:tc>
          <w:tcPr>
            <w:tcW w:w="2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currency translation</w:t>
            </w:r>
          </w:p>
        </w:tc>
        <w:tc>
          <w:tcPr>
            <w:tcW w:w="120" w:type="dxa"/>
            <w:vAlign w:val="bottom"/>
            <w:shd w:val="clear" w:color="auto" w:fill="CCEEFF"/>
          </w:tcPr>
          <w:p>
            <w:pPr>
              <w:spacing w:after="0"/>
              <w:rPr>
                <w:sz w:val="17"/>
                <w:szCs w:val="17"/>
                <w:color w:val="auto"/>
              </w:rPr>
            </w:pPr>
          </w:p>
        </w:tc>
        <w:tc>
          <w:tcPr>
            <w:tcW w:w="66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40" w:type="dxa"/>
            <w:vAlign w:val="bottom"/>
            <w:vMerge w:val="continue"/>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00" w:type="dxa"/>
            <w:vAlign w:val="bottom"/>
            <w:vMerge w:val="continue"/>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60" w:type="dxa"/>
            <w:vAlign w:val="bottom"/>
            <w:vMerge w:val="continue"/>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8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39"/>
        </w:trPr>
        <w:tc>
          <w:tcPr>
            <w:tcW w:w="2500" w:type="dxa"/>
            <w:vAlign w:val="bottom"/>
          </w:tcPr>
          <w:p>
            <w:pPr>
              <w:ind w:left="20"/>
              <w:spacing w:after="0" w:line="139" w:lineRule="exact"/>
              <w:rPr>
                <w:sz w:val="20"/>
                <w:szCs w:val="20"/>
                <w:color w:val="auto"/>
              </w:rPr>
            </w:pPr>
            <w:r>
              <w:rPr>
                <w:rFonts w:ascii="Times New Roman" w:cs="Times New Roman" w:eastAsia="Times New Roman" w:hAnsi="Times New Roman"/>
                <w:sz w:val="14"/>
                <w:szCs w:val="14"/>
                <w:color w:val="auto"/>
              </w:rPr>
              <w:t>Cumulative impact of changes in</w:t>
            </w: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500" w:type="dxa"/>
            <w:vAlign w:val="bottom"/>
          </w:tcPr>
          <w:p>
            <w:pPr>
              <w:ind w:left="20"/>
              <w:spacing w:after="0" w:line="145" w:lineRule="exact"/>
              <w:rPr>
                <w:sz w:val="20"/>
                <w:szCs w:val="20"/>
                <w:color w:val="auto"/>
              </w:rPr>
            </w:pPr>
            <w:r>
              <w:rPr>
                <w:rFonts w:ascii="Times New Roman" w:cs="Times New Roman" w:eastAsia="Times New Roman" w:hAnsi="Times New Roman"/>
                <w:sz w:val="14"/>
                <w:szCs w:val="14"/>
                <w:color w:val="auto"/>
              </w:rPr>
              <w:t>ownership of Artisan Partners Holdings</w:t>
            </w:r>
          </w:p>
        </w:tc>
        <w:tc>
          <w:tcPr>
            <w:tcW w:w="120" w:type="dxa"/>
            <w:vAlign w:val="bottom"/>
          </w:tcPr>
          <w:p>
            <w:pPr>
              <w:spacing w:after="0"/>
              <w:rPr>
                <w:sz w:val="12"/>
                <w:szCs w:val="12"/>
                <w:color w:val="auto"/>
              </w:rPr>
            </w:pP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660" w:type="dxa"/>
            <w:vAlign w:val="bottom"/>
            <w:vMerge w:val="restart"/>
          </w:tcPr>
          <w:p>
            <w:pPr>
              <w:ind w:left="4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676</w:t>
            </w:r>
          </w:p>
        </w:tc>
        <w:tc>
          <w:tcPr>
            <w:tcW w:w="120" w:type="dxa"/>
            <w:vAlign w:val="bottom"/>
          </w:tcPr>
          <w:p>
            <w:pPr>
              <w:spacing w:after="0"/>
              <w:rPr>
                <w:sz w:val="12"/>
                <w:szCs w:val="12"/>
                <w:color w:val="auto"/>
              </w:rPr>
            </w:pP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11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140" w:type="dxa"/>
            <w:vAlign w:val="bottom"/>
          </w:tcPr>
          <w:p>
            <w:pPr>
              <w:spacing w:after="0"/>
              <w:rPr>
                <w:sz w:val="12"/>
                <w:szCs w:val="12"/>
                <w:color w:val="auto"/>
              </w:rPr>
            </w:pPr>
          </w:p>
        </w:tc>
        <w:tc>
          <w:tcPr>
            <w:tcW w:w="10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(681)</w:t>
            </w:r>
          </w:p>
        </w:tc>
        <w:tc>
          <w:tcPr>
            <w:tcW w:w="140" w:type="dxa"/>
            <w:vAlign w:val="bottom"/>
          </w:tcPr>
          <w:p>
            <w:pPr>
              <w:spacing w:after="0"/>
              <w:rPr>
                <w:sz w:val="12"/>
                <w:szCs w:val="12"/>
                <w:color w:val="auto"/>
              </w:rPr>
            </w:pP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10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5"/>
        </w:trPr>
        <w:tc>
          <w:tcPr>
            <w:tcW w:w="25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LP</w:t>
            </w:r>
          </w:p>
        </w:tc>
        <w:tc>
          <w:tcPr>
            <w:tcW w:w="120" w:type="dxa"/>
            <w:vAlign w:val="bottom"/>
          </w:tcPr>
          <w:p>
            <w:pPr>
              <w:spacing w:after="0"/>
              <w:rPr>
                <w:sz w:val="16"/>
                <w:szCs w:val="16"/>
                <w:color w:val="auto"/>
              </w:rPr>
            </w:pPr>
          </w:p>
        </w:tc>
        <w:tc>
          <w:tcPr>
            <w:tcW w:w="66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106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46"/>
        </w:trPr>
        <w:tc>
          <w:tcPr>
            <w:tcW w:w="2500" w:type="dxa"/>
            <w:vAlign w:val="bottom"/>
            <w:shd w:val="clear" w:color="auto" w:fill="CCEEFF"/>
          </w:tcPr>
          <w:p>
            <w:pPr>
              <w:ind w:left="20"/>
              <w:spacing w:after="0" w:line="147" w:lineRule="exact"/>
              <w:rPr>
                <w:sz w:val="20"/>
                <w:szCs w:val="20"/>
                <w:color w:val="auto"/>
              </w:rPr>
            </w:pPr>
            <w:r>
              <w:rPr>
                <w:rFonts w:ascii="Times New Roman" w:cs="Times New Roman" w:eastAsia="Times New Roman" w:hAnsi="Times New Roman"/>
                <w:sz w:val="14"/>
                <w:szCs w:val="14"/>
                <w:color w:val="auto"/>
              </w:rPr>
              <w:t>Amortization of equity-based</w:t>
            </w:r>
          </w:p>
        </w:tc>
        <w:tc>
          <w:tcPr>
            <w:tcW w:w="120" w:type="dxa"/>
            <w:vAlign w:val="bottom"/>
            <w:shd w:val="clear" w:color="auto" w:fill="CCEEFF"/>
          </w:tcPr>
          <w:p>
            <w:pPr>
              <w:spacing w:after="0"/>
              <w:rPr>
                <w:sz w:val="12"/>
                <w:szCs w:val="12"/>
                <w:color w:val="auto"/>
              </w:rPr>
            </w:pPr>
          </w:p>
        </w:tc>
        <w:tc>
          <w:tcPr>
            <w:tcW w:w="6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660" w:type="dxa"/>
            <w:vAlign w:val="bottom"/>
            <w:vMerge w:val="restart"/>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6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7,484</w:t>
            </w:r>
          </w:p>
        </w:tc>
        <w:tc>
          <w:tcPr>
            <w:tcW w:w="120" w:type="dxa"/>
            <w:vAlign w:val="bottom"/>
            <w:shd w:val="clear" w:color="auto" w:fill="CCEEFF"/>
          </w:tcPr>
          <w:p>
            <w:pPr>
              <w:spacing w:after="0"/>
              <w:rPr>
                <w:sz w:val="12"/>
                <w:szCs w:val="12"/>
                <w:color w:val="auto"/>
              </w:rPr>
            </w:pPr>
          </w:p>
        </w:tc>
        <w:tc>
          <w:tcPr>
            <w:tcW w:w="6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1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10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904</w:t>
            </w:r>
          </w:p>
        </w:tc>
        <w:tc>
          <w:tcPr>
            <w:tcW w:w="140" w:type="dxa"/>
            <w:vAlign w:val="bottom"/>
            <w:shd w:val="clear" w:color="auto" w:fill="CCEEFF"/>
          </w:tcPr>
          <w:p>
            <w:pPr>
              <w:spacing w:after="0"/>
              <w:rPr>
                <w:sz w:val="12"/>
                <w:szCs w:val="12"/>
                <w:color w:val="auto"/>
              </w:rPr>
            </w:pPr>
          </w:p>
        </w:tc>
        <w:tc>
          <w:tcPr>
            <w:tcW w:w="9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8,388</w:t>
            </w:r>
          </w:p>
        </w:tc>
        <w:tc>
          <w:tcPr>
            <w:tcW w:w="120" w:type="dxa"/>
            <w:vAlign w:val="bottom"/>
            <w:shd w:val="clear" w:color="auto" w:fill="CCEEFF"/>
          </w:tcPr>
          <w:p>
            <w:pPr>
              <w:spacing w:after="0"/>
              <w:rPr>
                <w:sz w:val="12"/>
                <w:szCs w:val="12"/>
                <w:color w:val="auto"/>
              </w:rPr>
            </w:pPr>
          </w:p>
        </w:tc>
        <w:tc>
          <w:tcPr>
            <w:tcW w:w="10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8"/>
        </w:trPr>
        <w:tc>
          <w:tcPr>
            <w:tcW w:w="2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compensation</w:t>
            </w:r>
          </w:p>
        </w:tc>
        <w:tc>
          <w:tcPr>
            <w:tcW w:w="120" w:type="dxa"/>
            <w:vAlign w:val="bottom"/>
            <w:shd w:val="clear" w:color="auto" w:fill="CCEEFF"/>
          </w:tcPr>
          <w:p>
            <w:pPr>
              <w:spacing w:after="0"/>
              <w:rPr>
                <w:sz w:val="17"/>
                <w:szCs w:val="17"/>
                <w:color w:val="auto"/>
              </w:rPr>
            </w:pPr>
          </w:p>
        </w:tc>
        <w:tc>
          <w:tcPr>
            <w:tcW w:w="66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40" w:type="dxa"/>
            <w:vAlign w:val="bottom"/>
            <w:vMerge w:val="continue"/>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00" w:type="dxa"/>
            <w:vAlign w:val="bottom"/>
            <w:vMerge w:val="continue"/>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60" w:type="dxa"/>
            <w:vAlign w:val="bottom"/>
            <w:vMerge w:val="continue"/>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8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39"/>
        </w:trPr>
        <w:tc>
          <w:tcPr>
            <w:tcW w:w="2500" w:type="dxa"/>
            <w:vAlign w:val="bottom"/>
          </w:tcPr>
          <w:p>
            <w:pPr>
              <w:ind w:left="20"/>
              <w:spacing w:after="0" w:line="139" w:lineRule="exact"/>
              <w:rPr>
                <w:sz w:val="20"/>
                <w:szCs w:val="20"/>
                <w:color w:val="auto"/>
              </w:rPr>
            </w:pPr>
            <w:r>
              <w:rPr>
                <w:rFonts w:ascii="Times New Roman" w:cs="Times New Roman" w:eastAsia="Times New Roman" w:hAnsi="Times New Roman"/>
                <w:sz w:val="14"/>
                <w:szCs w:val="14"/>
                <w:color w:val="auto"/>
              </w:rPr>
              <w:t>Deferred tax assets, net of amounts</w:t>
            </w:r>
          </w:p>
        </w:tc>
        <w:tc>
          <w:tcPr>
            <w:tcW w:w="120" w:type="dxa"/>
            <w:vAlign w:val="bottom"/>
          </w:tcPr>
          <w:p>
            <w:pPr>
              <w:spacing w:after="0"/>
              <w:rPr>
                <w:sz w:val="12"/>
                <w:szCs w:val="12"/>
                <w:color w:val="auto"/>
              </w:rPr>
            </w:pP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660" w:type="dxa"/>
            <w:vAlign w:val="bottom"/>
            <w:vMerge w:val="restart"/>
          </w:tcPr>
          <w:p>
            <w:pPr>
              <w:ind w:left="4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464</w:t>
            </w:r>
          </w:p>
        </w:tc>
        <w:tc>
          <w:tcPr>
            <w:tcW w:w="120" w:type="dxa"/>
            <w:vAlign w:val="bottom"/>
          </w:tcPr>
          <w:p>
            <w:pPr>
              <w:spacing w:after="0"/>
              <w:rPr>
                <w:sz w:val="12"/>
                <w:szCs w:val="12"/>
                <w:color w:val="auto"/>
              </w:rPr>
            </w:pP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11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10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464</w:t>
            </w:r>
          </w:p>
        </w:tc>
        <w:tc>
          <w:tcPr>
            <w:tcW w:w="120" w:type="dxa"/>
            <w:vAlign w:val="bottom"/>
          </w:tcPr>
          <w:p>
            <w:pPr>
              <w:spacing w:after="0"/>
              <w:rPr>
                <w:sz w:val="12"/>
                <w:szCs w:val="12"/>
                <w:color w:val="auto"/>
              </w:rPr>
            </w:pPr>
          </w:p>
        </w:tc>
        <w:tc>
          <w:tcPr>
            <w:tcW w:w="10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3"/>
        </w:trPr>
        <w:tc>
          <w:tcPr>
            <w:tcW w:w="25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payable under tax receivable agreements</w:t>
            </w:r>
          </w:p>
        </w:tc>
        <w:tc>
          <w:tcPr>
            <w:tcW w:w="120" w:type="dxa"/>
            <w:vAlign w:val="bottom"/>
          </w:tcPr>
          <w:p>
            <w:pPr>
              <w:spacing w:after="0"/>
              <w:rPr>
                <w:sz w:val="16"/>
                <w:szCs w:val="16"/>
                <w:color w:val="auto"/>
              </w:rPr>
            </w:pPr>
          </w:p>
        </w:tc>
        <w:tc>
          <w:tcPr>
            <w:tcW w:w="66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106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2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Issuance of restricted stock awards</w:t>
            </w: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5"/>
        </w:trPr>
        <w:tc>
          <w:tcPr>
            <w:tcW w:w="25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Employee net share settlement</w:t>
            </w:r>
          </w:p>
        </w:tc>
        <w:tc>
          <w:tcPr>
            <w:tcW w:w="12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20" w:type="dxa"/>
            <w:vAlign w:val="bottom"/>
          </w:tcPr>
          <w:p>
            <w:pPr>
              <w:spacing w:after="0"/>
              <w:rPr>
                <w:sz w:val="16"/>
                <w:szCs w:val="16"/>
                <w:color w:val="auto"/>
              </w:rPr>
            </w:pPr>
          </w:p>
        </w:tc>
        <w:tc>
          <w:tcPr>
            <w:tcW w:w="660" w:type="dxa"/>
            <w:vAlign w:val="bottom"/>
          </w:tcPr>
          <w:p>
            <w:pPr>
              <w:ind w:left="4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(3,802)</w:t>
            </w:r>
          </w:p>
        </w:tc>
        <w:tc>
          <w:tcPr>
            <w:tcW w:w="12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(545)</w:t>
            </w:r>
          </w:p>
        </w:tc>
        <w:tc>
          <w:tcPr>
            <w:tcW w:w="14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(4,348)</w:t>
            </w:r>
          </w:p>
        </w:tc>
        <w:tc>
          <w:tcPr>
            <w:tcW w:w="12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10"/>
        </w:trPr>
        <w:tc>
          <w:tcPr>
            <w:tcW w:w="2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Exchange of subsidiary equity</w:t>
            </w: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5"/>
        </w:trPr>
        <w:tc>
          <w:tcPr>
            <w:tcW w:w="25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Capital contributions, net</w:t>
            </w:r>
          </w:p>
        </w:tc>
        <w:tc>
          <w:tcPr>
            <w:tcW w:w="12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660" w:type="dxa"/>
            <w:vAlign w:val="bottom"/>
          </w:tcPr>
          <w:p>
            <w:pPr>
              <w:ind w:left="4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27,845</w:t>
            </w:r>
          </w:p>
        </w:tc>
        <w:tc>
          <w:tcPr>
            <w:tcW w:w="0" w:type="dxa"/>
            <w:vAlign w:val="bottom"/>
          </w:tcPr>
          <w:p>
            <w:pPr>
              <w:spacing w:after="0"/>
              <w:rPr>
                <w:sz w:val="1"/>
                <w:szCs w:val="1"/>
                <w:color w:val="auto"/>
              </w:rPr>
            </w:pPr>
          </w:p>
        </w:tc>
      </w:tr>
      <w:tr>
        <w:trPr>
          <w:trHeight w:val="210"/>
        </w:trPr>
        <w:tc>
          <w:tcPr>
            <w:tcW w:w="2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Impact of deconsolidation of CIPs</w:t>
            </w: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(253,932)</w:t>
            </w:r>
          </w:p>
        </w:tc>
        <w:tc>
          <w:tcPr>
            <w:tcW w:w="0" w:type="dxa"/>
            <w:vAlign w:val="bottom"/>
          </w:tcPr>
          <w:p>
            <w:pPr>
              <w:spacing w:after="0"/>
              <w:rPr>
                <w:sz w:val="1"/>
                <w:szCs w:val="1"/>
                <w:color w:val="auto"/>
              </w:rPr>
            </w:pPr>
          </w:p>
        </w:tc>
      </w:tr>
      <w:tr>
        <w:trPr>
          <w:trHeight w:val="195"/>
        </w:trPr>
        <w:tc>
          <w:tcPr>
            <w:tcW w:w="25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Impact of consolidation of CIPs</w:t>
            </w:r>
          </w:p>
        </w:tc>
        <w:tc>
          <w:tcPr>
            <w:tcW w:w="12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660" w:type="dxa"/>
            <w:vAlign w:val="bottom"/>
          </w:tcPr>
          <w:p>
            <w:pPr>
              <w:ind w:left="4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3,830</w:t>
            </w:r>
          </w:p>
        </w:tc>
        <w:tc>
          <w:tcPr>
            <w:tcW w:w="0" w:type="dxa"/>
            <w:vAlign w:val="bottom"/>
          </w:tcPr>
          <w:p>
            <w:pPr>
              <w:spacing w:after="0"/>
              <w:rPr>
                <w:sz w:val="1"/>
                <w:szCs w:val="1"/>
                <w:color w:val="auto"/>
              </w:rPr>
            </w:pPr>
          </w:p>
        </w:tc>
      </w:tr>
      <w:tr>
        <w:trPr>
          <w:trHeight w:val="210"/>
        </w:trPr>
        <w:tc>
          <w:tcPr>
            <w:tcW w:w="2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Distributions</w:t>
            </w: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(5,960)</w:t>
            </w: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(5,960)</w:t>
            </w:r>
          </w:p>
        </w:tc>
        <w:tc>
          <w:tcPr>
            <w:tcW w:w="1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6"/>
        </w:trPr>
        <w:tc>
          <w:tcPr>
            <w:tcW w:w="25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Dividends</w:t>
            </w:r>
          </w:p>
        </w:tc>
        <w:tc>
          <w:tcPr>
            <w:tcW w:w="12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ind w:left="4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(112,407)</w:t>
            </w:r>
          </w:p>
        </w:tc>
        <w:tc>
          <w:tcPr>
            <w:tcW w:w="1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(53)</w:t>
            </w:r>
          </w:p>
        </w:tc>
        <w:tc>
          <w:tcPr>
            <w:tcW w:w="14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(112,460)</w:t>
            </w:r>
          </w:p>
        </w:tc>
        <w:tc>
          <w:tcPr>
            <w:tcW w:w="1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28"/>
        </w:trPr>
        <w:tc>
          <w:tcPr>
            <w:tcW w:w="25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 at March 31, 2026</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710</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Borders>
              <w:bottom w:val="single" w:sz="8" w:color="auto"/>
            </w:tcBorders>
            <w:shd w:val="clear" w:color="auto" w:fill="CCEEFF"/>
          </w:tcPr>
          <w:p>
            <w:pPr>
              <w:ind w:left="480"/>
              <w:spacing w:after="0"/>
              <w:rPr>
                <w:sz w:val="20"/>
                <w:szCs w:val="20"/>
                <w:color w:val="auto"/>
              </w:rPr>
            </w:pPr>
            <w:r>
              <w:rPr>
                <w:rFonts w:ascii="Times New Roman" w:cs="Times New Roman" w:eastAsia="Times New Roman" w:hAnsi="Times New Roman"/>
                <w:sz w:val="14"/>
                <w:szCs w:val="14"/>
                <w:color w:val="auto"/>
              </w:rPr>
              <w:t>11</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89</w:t>
            </w: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241,145</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149,020</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(1,929)</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44,081</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433,127</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80,458</w:t>
            </w:r>
          </w:p>
        </w:tc>
        <w:tc>
          <w:tcPr>
            <w:tcW w:w="0" w:type="dxa"/>
            <w:vAlign w:val="bottom"/>
          </w:tcPr>
          <w:p>
            <w:pPr>
              <w:spacing w:after="0"/>
              <w:rPr>
                <w:sz w:val="1"/>
                <w:szCs w:val="1"/>
                <w:color w:val="auto"/>
              </w:rPr>
            </w:pPr>
          </w:p>
        </w:tc>
      </w:tr>
      <w:tr>
        <w:trPr>
          <w:trHeight w:val="20"/>
        </w:trPr>
        <w:tc>
          <w:tcPr>
            <w:tcW w:w="25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gridSpan w:val="2"/>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6"/>
        </w:trPr>
        <w:tc>
          <w:tcPr>
            <w:tcW w:w="2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jc w:val="center"/>
              <w:ind w:right="28"/>
              <w:spacing w:after="0"/>
              <w:rPr>
                <w:sz w:val="20"/>
                <w:szCs w:val="20"/>
                <w:color w:val="auto"/>
              </w:rPr>
            </w:pPr>
            <w:r>
              <w:rPr>
                <w:rFonts w:ascii="Times New Roman" w:cs="Times New Roman" w:eastAsia="Times New Roman" w:hAnsi="Times New Roman"/>
                <w:sz w:val="14"/>
                <w:szCs w:val="14"/>
                <w:color w:val="auto"/>
              </w:rPr>
              <w:t>Class A</w:t>
            </w:r>
          </w:p>
        </w:tc>
        <w:tc>
          <w:tcPr>
            <w:tcW w:w="120" w:type="dxa"/>
            <w:vAlign w:val="bottom"/>
          </w:tcPr>
          <w:p>
            <w:pPr>
              <w:spacing w:after="0"/>
              <w:rPr>
                <w:sz w:val="24"/>
                <w:szCs w:val="24"/>
                <w:color w:val="auto"/>
              </w:rPr>
            </w:pPr>
          </w:p>
        </w:tc>
        <w:tc>
          <w:tcPr>
            <w:tcW w:w="660" w:type="dxa"/>
            <w:vAlign w:val="bottom"/>
          </w:tcPr>
          <w:p>
            <w:pPr>
              <w:jc w:val="center"/>
              <w:ind w:right="28"/>
              <w:spacing w:after="0"/>
              <w:rPr>
                <w:sz w:val="20"/>
                <w:szCs w:val="20"/>
                <w:color w:val="auto"/>
              </w:rPr>
            </w:pPr>
            <w:r>
              <w:rPr>
                <w:rFonts w:ascii="Times New Roman" w:cs="Times New Roman" w:eastAsia="Times New Roman" w:hAnsi="Times New Roman"/>
                <w:sz w:val="14"/>
                <w:szCs w:val="14"/>
                <w:color w:val="auto"/>
              </w:rPr>
              <w:t>Class B</w:t>
            </w:r>
          </w:p>
        </w:tc>
        <w:tc>
          <w:tcPr>
            <w:tcW w:w="120" w:type="dxa"/>
            <w:vAlign w:val="bottom"/>
          </w:tcPr>
          <w:p>
            <w:pPr>
              <w:spacing w:after="0"/>
              <w:rPr>
                <w:sz w:val="24"/>
                <w:szCs w:val="24"/>
                <w:color w:val="auto"/>
              </w:rPr>
            </w:pPr>
          </w:p>
        </w:tc>
        <w:tc>
          <w:tcPr>
            <w:tcW w:w="680" w:type="dxa"/>
            <w:vAlign w:val="bottom"/>
          </w:tcPr>
          <w:p>
            <w:pPr>
              <w:jc w:val="center"/>
              <w:ind w:right="48"/>
              <w:spacing w:after="0"/>
              <w:rPr>
                <w:sz w:val="20"/>
                <w:szCs w:val="20"/>
                <w:color w:val="auto"/>
              </w:rPr>
            </w:pPr>
            <w:r>
              <w:rPr>
                <w:rFonts w:ascii="Times New Roman" w:cs="Times New Roman" w:eastAsia="Times New Roman" w:hAnsi="Times New Roman"/>
                <w:sz w:val="14"/>
                <w:szCs w:val="14"/>
                <w:color w:val="auto"/>
              </w:rPr>
              <w:t>Class C</w:t>
            </w:r>
          </w:p>
        </w:tc>
        <w:tc>
          <w:tcPr>
            <w:tcW w:w="100" w:type="dxa"/>
            <w:vAlign w:val="bottom"/>
          </w:tcPr>
          <w:p>
            <w:pPr>
              <w:spacing w:after="0"/>
              <w:rPr>
                <w:sz w:val="24"/>
                <w:szCs w:val="24"/>
                <w:color w:val="auto"/>
              </w:rPr>
            </w:pPr>
          </w:p>
        </w:tc>
        <w:tc>
          <w:tcPr>
            <w:tcW w:w="760" w:type="dxa"/>
            <w:vAlign w:val="bottom"/>
          </w:tcPr>
          <w:p>
            <w:pPr>
              <w:jc w:val="center"/>
              <w:ind w:right="28"/>
              <w:spacing w:after="0"/>
              <w:rPr>
                <w:sz w:val="20"/>
                <w:szCs w:val="20"/>
                <w:color w:val="auto"/>
              </w:rPr>
            </w:pPr>
            <w:r>
              <w:rPr>
                <w:rFonts w:ascii="Times New Roman" w:cs="Times New Roman" w:eastAsia="Times New Roman" w:hAnsi="Times New Roman"/>
                <w:sz w:val="14"/>
                <w:szCs w:val="14"/>
                <w:color w:val="auto"/>
              </w:rPr>
              <w:t>Additional</w:t>
            </w:r>
          </w:p>
        </w:tc>
        <w:tc>
          <w:tcPr>
            <w:tcW w:w="120" w:type="dxa"/>
            <w:vAlign w:val="bottom"/>
          </w:tcPr>
          <w:p>
            <w:pPr>
              <w:spacing w:after="0"/>
              <w:rPr>
                <w:sz w:val="24"/>
                <w:szCs w:val="24"/>
                <w:color w:val="auto"/>
              </w:rPr>
            </w:pPr>
          </w:p>
        </w:tc>
        <w:tc>
          <w:tcPr>
            <w:tcW w:w="64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Retained</w:t>
            </w:r>
          </w:p>
        </w:tc>
        <w:tc>
          <w:tcPr>
            <w:tcW w:w="1240" w:type="dxa"/>
            <w:vAlign w:val="bottom"/>
            <w:gridSpan w:val="2"/>
          </w:tcPr>
          <w:p>
            <w:pPr>
              <w:jc w:val="center"/>
              <w:spacing w:after="0"/>
              <w:rPr>
                <w:sz w:val="20"/>
                <w:szCs w:val="20"/>
                <w:color w:val="auto"/>
              </w:rPr>
            </w:pPr>
            <w:r>
              <w:rPr>
                <w:rFonts w:ascii="Times New Roman" w:cs="Times New Roman" w:eastAsia="Times New Roman" w:hAnsi="Times New Roman"/>
                <w:sz w:val="14"/>
                <w:szCs w:val="14"/>
                <w:color w:val="auto"/>
              </w:rPr>
              <w:t>Accumulated Other</w:t>
            </w:r>
          </w:p>
        </w:tc>
        <w:tc>
          <w:tcPr>
            <w:tcW w:w="140" w:type="dxa"/>
            <w:vAlign w:val="bottom"/>
          </w:tcPr>
          <w:p>
            <w:pPr>
              <w:spacing w:after="0"/>
              <w:rPr>
                <w:sz w:val="24"/>
                <w:szCs w:val="24"/>
                <w:color w:val="auto"/>
              </w:rPr>
            </w:pPr>
          </w:p>
        </w:tc>
        <w:tc>
          <w:tcPr>
            <w:tcW w:w="1060" w:type="dxa"/>
            <w:vAlign w:val="bottom"/>
          </w:tcPr>
          <w:p>
            <w:pPr>
              <w:jc w:val="center"/>
              <w:ind w:right="28"/>
              <w:spacing w:after="0"/>
              <w:rPr>
                <w:sz w:val="20"/>
                <w:szCs w:val="20"/>
                <w:color w:val="auto"/>
              </w:rPr>
            </w:pPr>
            <w:r>
              <w:rPr>
                <w:rFonts w:ascii="Times New Roman" w:cs="Times New Roman" w:eastAsia="Times New Roman" w:hAnsi="Times New Roman"/>
                <w:sz w:val="14"/>
                <w:szCs w:val="14"/>
                <w:color w:val="auto"/>
              </w:rPr>
              <w:t>Noncontrolling</w:t>
            </w:r>
          </w:p>
        </w:tc>
        <w:tc>
          <w:tcPr>
            <w:tcW w:w="140" w:type="dxa"/>
            <w:vAlign w:val="bottom"/>
          </w:tcPr>
          <w:p>
            <w:pPr>
              <w:spacing w:after="0"/>
              <w:rPr>
                <w:sz w:val="24"/>
                <w:szCs w:val="24"/>
                <w:color w:val="auto"/>
              </w:rPr>
            </w:pPr>
          </w:p>
        </w:tc>
        <w:tc>
          <w:tcPr>
            <w:tcW w:w="980" w:type="dxa"/>
            <w:vAlign w:val="bottom"/>
          </w:tcPr>
          <w:p>
            <w:pPr>
              <w:jc w:val="center"/>
              <w:ind w:right="48"/>
              <w:spacing w:after="0"/>
              <w:rPr>
                <w:sz w:val="20"/>
                <w:szCs w:val="20"/>
                <w:color w:val="auto"/>
              </w:rPr>
            </w:pPr>
            <w:r>
              <w:rPr>
                <w:rFonts w:ascii="Times New Roman" w:cs="Times New Roman" w:eastAsia="Times New Roman" w:hAnsi="Times New Roman"/>
                <w:sz w:val="14"/>
                <w:szCs w:val="14"/>
                <w:color w:val="auto"/>
              </w:rPr>
              <w:t>Total</w:t>
            </w:r>
          </w:p>
        </w:tc>
        <w:tc>
          <w:tcPr>
            <w:tcW w:w="120" w:type="dxa"/>
            <w:vAlign w:val="bottom"/>
          </w:tcPr>
          <w:p>
            <w:pPr>
              <w:spacing w:after="0"/>
              <w:rPr>
                <w:sz w:val="24"/>
                <w:szCs w:val="24"/>
                <w:color w:val="auto"/>
              </w:rPr>
            </w:pPr>
          </w:p>
        </w:tc>
        <w:tc>
          <w:tcPr>
            <w:tcW w:w="1080" w:type="dxa"/>
            <w:vAlign w:val="bottom"/>
          </w:tcPr>
          <w:p>
            <w:pPr>
              <w:jc w:val="center"/>
              <w:ind w:right="48"/>
              <w:spacing w:after="0"/>
              <w:rPr>
                <w:sz w:val="20"/>
                <w:szCs w:val="20"/>
                <w:color w:val="auto"/>
              </w:rPr>
            </w:pPr>
            <w:r>
              <w:rPr>
                <w:rFonts w:ascii="Times New Roman" w:cs="Times New Roman" w:eastAsia="Times New Roman" w:hAnsi="Times New Roman"/>
                <w:sz w:val="14"/>
                <w:szCs w:val="14"/>
                <w:color w:val="auto"/>
              </w:rPr>
              <w:t>Redeemable</w:t>
            </w:r>
          </w:p>
        </w:tc>
        <w:tc>
          <w:tcPr>
            <w:tcW w:w="0" w:type="dxa"/>
            <w:vAlign w:val="bottom"/>
          </w:tcPr>
          <w:p>
            <w:pPr>
              <w:spacing w:after="0"/>
              <w:rPr>
                <w:sz w:val="1"/>
                <w:szCs w:val="1"/>
                <w:color w:val="auto"/>
              </w:rPr>
            </w:pPr>
          </w:p>
        </w:tc>
      </w:tr>
      <w:tr>
        <w:trPr>
          <w:trHeight w:val="149"/>
        </w:trPr>
        <w:tc>
          <w:tcPr>
            <w:tcW w:w="250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Three months ended March 31, 2025</w:t>
            </w:r>
          </w:p>
        </w:tc>
        <w:tc>
          <w:tcPr>
            <w:tcW w:w="120" w:type="dxa"/>
            <w:vAlign w:val="bottom"/>
          </w:tcPr>
          <w:p>
            <w:pPr>
              <w:spacing w:after="0"/>
              <w:rPr>
                <w:sz w:val="12"/>
                <w:szCs w:val="12"/>
                <w:color w:val="auto"/>
              </w:rPr>
            </w:pPr>
          </w:p>
        </w:tc>
        <w:tc>
          <w:tcPr>
            <w:tcW w:w="660" w:type="dxa"/>
            <w:vAlign w:val="bottom"/>
          </w:tcPr>
          <w:p>
            <w:pPr>
              <w:jc w:val="center"/>
              <w:ind w:right="48"/>
              <w:spacing w:after="0" w:line="149" w:lineRule="exact"/>
              <w:rPr>
                <w:sz w:val="20"/>
                <w:szCs w:val="20"/>
                <w:color w:val="auto"/>
              </w:rPr>
            </w:pPr>
            <w:r>
              <w:rPr>
                <w:rFonts w:ascii="Times New Roman" w:cs="Times New Roman" w:eastAsia="Times New Roman" w:hAnsi="Times New Roman"/>
                <w:sz w:val="14"/>
                <w:szCs w:val="14"/>
                <w:color w:val="auto"/>
              </w:rPr>
              <w:t>Common</w:t>
            </w:r>
          </w:p>
        </w:tc>
        <w:tc>
          <w:tcPr>
            <w:tcW w:w="120" w:type="dxa"/>
            <w:vAlign w:val="bottom"/>
          </w:tcPr>
          <w:p>
            <w:pPr>
              <w:spacing w:after="0"/>
              <w:rPr>
                <w:sz w:val="12"/>
                <w:szCs w:val="12"/>
                <w:color w:val="auto"/>
              </w:rPr>
            </w:pPr>
          </w:p>
        </w:tc>
        <w:tc>
          <w:tcPr>
            <w:tcW w:w="660" w:type="dxa"/>
            <w:vAlign w:val="bottom"/>
          </w:tcPr>
          <w:p>
            <w:pPr>
              <w:jc w:val="center"/>
              <w:ind w:right="28"/>
              <w:spacing w:after="0" w:line="149" w:lineRule="exact"/>
              <w:rPr>
                <w:sz w:val="20"/>
                <w:szCs w:val="20"/>
                <w:color w:val="auto"/>
              </w:rPr>
            </w:pPr>
            <w:r>
              <w:rPr>
                <w:rFonts w:ascii="Times New Roman" w:cs="Times New Roman" w:eastAsia="Times New Roman" w:hAnsi="Times New Roman"/>
                <w:sz w:val="14"/>
                <w:szCs w:val="14"/>
                <w:color w:val="auto"/>
                <w:w w:val="99"/>
              </w:rPr>
              <w:t>Common</w:t>
            </w:r>
          </w:p>
        </w:tc>
        <w:tc>
          <w:tcPr>
            <w:tcW w:w="120" w:type="dxa"/>
            <w:vAlign w:val="bottom"/>
          </w:tcPr>
          <w:p>
            <w:pPr>
              <w:spacing w:after="0"/>
              <w:rPr>
                <w:sz w:val="12"/>
                <w:szCs w:val="12"/>
                <w:color w:val="auto"/>
              </w:rPr>
            </w:pPr>
          </w:p>
        </w:tc>
        <w:tc>
          <w:tcPr>
            <w:tcW w:w="680" w:type="dxa"/>
            <w:vAlign w:val="bottom"/>
          </w:tcPr>
          <w:p>
            <w:pPr>
              <w:jc w:val="center"/>
              <w:ind w:right="28"/>
              <w:spacing w:after="0" w:line="149" w:lineRule="exact"/>
              <w:rPr>
                <w:sz w:val="20"/>
                <w:szCs w:val="20"/>
                <w:color w:val="auto"/>
              </w:rPr>
            </w:pPr>
            <w:r>
              <w:rPr>
                <w:rFonts w:ascii="Times New Roman" w:cs="Times New Roman" w:eastAsia="Times New Roman" w:hAnsi="Times New Roman"/>
                <w:sz w:val="14"/>
                <w:szCs w:val="14"/>
                <w:color w:val="auto"/>
              </w:rPr>
              <w:t>Common</w:t>
            </w:r>
          </w:p>
        </w:tc>
        <w:tc>
          <w:tcPr>
            <w:tcW w:w="100" w:type="dxa"/>
            <w:vAlign w:val="bottom"/>
          </w:tcPr>
          <w:p>
            <w:pPr>
              <w:spacing w:after="0"/>
              <w:rPr>
                <w:sz w:val="12"/>
                <w:szCs w:val="12"/>
                <w:color w:val="auto"/>
              </w:rPr>
            </w:pPr>
          </w:p>
        </w:tc>
        <w:tc>
          <w:tcPr>
            <w:tcW w:w="760" w:type="dxa"/>
            <w:vAlign w:val="bottom"/>
          </w:tcPr>
          <w:p>
            <w:pPr>
              <w:jc w:val="center"/>
              <w:ind w:right="28"/>
              <w:spacing w:after="0" w:line="149" w:lineRule="exact"/>
              <w:rPr>
                <w:sz w:val="20"/>
                <w:szCs w:val="20"/>
                <w:color w:val="auto"/>
              </w:rPr>
            </w:pPr>
            <w:r>
              <w:rPr>
                <w:rFonts w:ascii="Times New Roman" w:cs="Times New Roman" w:eastAsia="Times New Roman" w:hAnsi="Times New Roman"/>
                <w:sz w:val="14"/>
                <w:szCs w:val="14"/>
                <w:color w:val="auto"/>
              </w:rPr>
              <w:t>Paid-in</w:t>
            </w:r>
          </w:p>
        </w:tc>
        <w:tc>
          <w:tcPr>
            <w:tcW w:w="120" w:type="dxa"/>
            <w:vAlign w:val="bottom"/>
          </w:tcPr>
          <w:p>
            <w:pPr>
              <w:spacing w:after="0"/>
              <w:rPr>
                <w:sz w:val="12"/>
                <w:szCs w:val="12"/>
                <w:color w:val="auto"/>
              </w:rPr>
            </w:pPr>
          </w:p>
        </w:tc>
        <w:tc>
          <w:tcPr>
            <w:tcW w:w="64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tcPr>
          <w:p>
            <w:pPr>
              <w:jc w:val="center"/>
              <w:ind w:right="48"/>
              <w:spacing w:after="0" w:line="149" w:lineRule="exact"/>
              <w:rPr>
                <w:sz w:val="20"/>
                <w:szCs w:val="20"/>
                <w:color w:val="auto"/>
              </w:rPr>
            </w:pPr>
            <w:r>
              <w:rPr>
                <w:rFonts w:ascii="Times New Roman" w:cs="Times New Roman" w:eastAsia="Times New Roman" w:hAnsi="Times New Roman"/>
                <w:sz w:val="14"/>
                <w:szCs w:val="14"/>
                <w:color w:val="auto"/>
              </w:rPr>
              <w:t>Comprehensive</w:t>
            </w:r>
          </w:p>
        </w:tc>
        <w:tc>
          <w:tcPr>
            <w:tcW w:w="120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color w:val="auto"/>
              </w:rPr>
              <w:t>Interests - Artisan</w:t>
            </w:r>
          </w:p>
        </w:tc>
        <w:tc>
          <w:tcPr>
            <w:tcW w:w="140" w:type="dxa"/>
            <w:vAlign w:val="bottom"/>
          </w:tcPr>
          <w:p>
            <w:pPr>
              <w:spacing w:after="0"/>
              <w:rPr>
                <w:sz w:val="12"/>
                <w:szCs w:val="12"/>
                <w:color w:val="auto"/>
              </w:rPr>
            </w:pPr>
          </w:p>
        </w:tc>
        <w:tc>
          <w:tcPr>
            <w:tcW w:w="980" w:type="dxa"/>
            <w:vAlign w:val="bottom"/>
          </w:tcPr>
          <w:p>
            <w:pPr>
              <w:jc w:val="center"/>
              <w:ind w:right="68"/>
              <w:spacing w:after="0" w:line="149" w:lineRule="exact"/>
              <w:rPr>
                <w:sz w:val="20"/>
                <w:szCs w:val="20"/>
                <w:color w:val="auto"/>
              </w:rPr>
            </w:pPr>
            <w:r>
              <w:rPr>
                <w:rFonts w:ascii="Times New Roman" w:cs="Times New Roman" w:eastAsia="Times New Roman" w:hAnsi="Times New Roman"/>
                <w:sz w:val="14"/>
                <w:szCs w:val="14"/>
                <w:color w:val="auto"/>
              </w:rPr>
              <w:t>Stockholders’</w:t>
            </w:r>
          </w:p>
        </w:tc>
        <w:tc>
          <w:tcPr>
            <w:tcW w:w="120" w:type="dxa"/>
            <w:vAlign w:val="bottom"/>
          </w:tcPr>
          <w:p>
            <w:pPr>
              <w:spacing w:after="0"/>
              <w:rPr>
                <w:sz w:val="12"/>
                <w:szCs w:val="12"/>
                <w:color w:val="auto"/>
              </w:rPr>
            </w:pPr>
          </w:p>
        </w:tc>
        <w:tc>
          <w:tcPr>
            <w:tcW w:w="1080" w:type="dxa"/>
            <w:vAlign w:val="bottom"/>
          </w:tcPr>
          <w:p>
            <w:pPr>
              <w:jc w:val="center"/>
              <w:ind w:right="48"/>
              <w:spacing w:after="0" w:line="149" w:lineRule="exact"/>
              <w:rPr>
                <w:sz w:val="20"/>
                <w:szCs w:val="20"/>
                <w:color w:val="auto"/>
              </w:rPr>
            </w:pPr>
            <w:r>
              <w:rPr>
                <w:rFonts w:ascii="Times New Roman" w:cs="Times New Roman" w:eastAsia="Times New Roman" w:hAnsi="Times New Roman"/>
                <w:sz w:val="14"/>
                <w:szCs w:val="14"/>
                <w:color w:val="auto"/>
              </w:rPr>
              <w:t>Noncontrolling</w:t>
            </w:r>
          </w:p>
        </w:tc>
        <w:tc>
          <w:tcPr>
            <w:tcW w:w="0" w:type="dxa"/>
            <w:vAlign w:val="bottom"/>
          </w:tcPr>
          <w:p>
            <w:pPr>
              <w:spacing w:after="0"/>
              <w:rPr>
                <w:sz w:val="1"/>
                <w:szCs w:val="1"/>
                <w:color w:val="auto"/>
              </w:rPr>
            </w:pPr>
          </w:p>
        </w:tc>
      </w:tr>
      <w:tr>
        <w:trPr>
          <w:trHeight w:val="196"/>
        </w:trPr>
        <w:tc>
          <w:tcPr>
            <w:tcW w:w="2500" w:type="dxa"/>
            <w:vAlign w:val="bottom"/>
            <w:tcBorders>
              <w:bottom w:val="single" w:sz="8" w:color="CCEEFF"/>
            </w:tcBorders>
            <w:vMerge w:val="continue"/>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center"/>
              <w:ind w:right="28"/>
              <w:spacing w:after="0"/>
              <w:rPr>
                <w:sz w:val="20"/>
                <w:szCs w:val="20"/>
                <w:color w:val="auto"/>
              </w:rPr>
            </w:pPr>
            <w:r>
              <w:rPr>
                <w:rFonts w:ascii="Times New Roman" w:cs="Times New Roman" w:eastAsia="Times New Roman" w:hAnsi="Times New Roman"/>
                <w:sz w:val="14"/>
                <w:szCs w:val="14"/>
                <w:color w:val="auto"/>
              </w:rPr>
              <w:t>Stock</w:t>
            </w:r>
          </w:p>
        </w:tc>
        <w:tc>
          <w:tcPr>
            <w:tcW w:w="12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center"/>
              <w:ind w:right="28"/>
              <w:spacing w:after="0"/>
              <w:rPr>
                <w:sz w:val="20"/>
                <w:szCs w:val="20"/>
                <w:color w:val="auto"/>
              </w:rPr>
            </w:pPr>
            <w:r>
              <w:rPr>
                <w:rFonts w:ascii="Times New Roman" w:cs="Times New Roman" w:eastAsia="Times New Roman" w:hAnsi="Times New Roman"/>
                <w:sz w:val="14"/>
                <w:szCs w:val="14"/>
                <w:color w:val="auto"/>
              </w:rPr>
              <w:t>Stock</w:t>
            </w:r>
          </w:p>
        </w:tc>
        <w:tc>
          <w:tcPr>
            <w:tcW w:w="12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center"/>
              <w:ind w:right="48"/>
              <w:spacing w:after="0"/>
              <w:rPr>
                <w:sz w:val="20"/>
                <w:szCs w:val="20"/>
                <w:color w:val="auto"/>
              </w:rPr>
            </w:pPr>
            <w:r>
              <w:rPr>
                <w:rFonts w:ascii="Times New Roman" w:cs="Times New Roman" w:eastAsia="Times New Roman" w:hAnsi="Times New Roman"/>
                <w:sz w:val="14"/>
                <w:szCs w:val="14"/>
                <w:color w:val="auto"/>
              </w:rPr>
              <w:t>Stock</w:t>
            </w:r>
          </w:p>
        </w:tc>
        <w:tc>
          <w:tcPr>
            <w:tcW w:w="10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center"/>
              <w:ind w:right="28"/>
              <w:spacing w:after="0"/>
              <w:rPr>
                <w:sz w:val="20"/>
                <w:szCs w:val="20"/>
                <w:color w:val="auto"/>
              </w:rPr>
            </w:pPr>
            <w:r>
              <w:rPr>
                <w:rFonts w:ascii="Times New Roman" w:cs="Times New Roman" w:eastAsia="Times New Roman" w:hAnsi="Times New Roman"/>
                <w:sz w:val="14"/>
                <w:szCs w:val="14"/>
                <w:color w:val="auto"/>
              </w:rPr>
              <w:t>Capital</w:t>
            </w:r>
          </w:p>
        </w:tc>
        <w:tc>
          <w:tcPr>
            <w:tcW w:w="12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Earnings</w:t>
            </w:r>
          </w:p>
        </w:tc>
        <w:tc>
          <w:tcPr>
            <w:tcW w:w="1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center"/>
              <w:ind w:right="48"/>
              <w:spacing w:after="0"/>
              <w:rPr>
                <w:sz w:val="20"/>
                <w:szCs w:val="20"/>
                <w:color w:val="auto"/>
              </w:rPr>
            </w:pPr>
            <w:r>
              <w:rPr>
                <w:rFonts w:ascii="Times New Roman" w:cs="Times New Roman" w:eastAsia="Times New Roman" w:hAnsi="Times New Roman"/>
                <w:sz w:val="14"/>
                <w:szCs w:val="14"/>
                <w:color w:val="auto"/>
              </w:rPr>
              <w:t>Income (Loss)</w:t>
            </w:r>
          </w:p>
        </w:tc>
        <w:tc>
          <w:tcPr>
            <w:tcW w:w="120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color w:val="auto"/>
              </w:rPr>
              <w:t>Partners Holdings</w:t>
            </w:r>
          </w:p>
        </w:tc>
        <w:tc>
          <w:tcPr>
            <w:tcW w:w="14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center"/>
              <w:ind w:right="48"/>
              <w:spacing w:after="0"/>
              <w:rPr>
                <w:sz w:val="20"/>
                <w:szCs w:val="20"/>
                <w:color w:val="auto"/>
              </w:rPr>
            </w:pPr>
            <w:r>
              <w:rPr>
                <w:rFonts w:ascii="Times New Roman" w:cs="Times New Roman" w:eastAsia="Times New Roman" w:hAnsi="Times New Roman"/>
                <w:sz w:val="14"/>
                <w:szCs w:val="14"/>
                <w:color w:val="auto"/>
              </w:rPr>
              <w:t>Equity</w:t>
            </w:r>
          </w:p>
        </w:tc>
        <w:tc>
          <w:tcPr>
            <w:tcW w:w="1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center"/>
              <w:ind w:right="48"/>
              <w:spacing w:after="0"/>
              <w:rPr>
                <w:sz w:val="20"/>
                <w:szCs w:val="20"/>
                <w:color w:val="auto"/>
              </w:rPr>
            </w:pPr>
            <w:r>
              <w:rPr>
                <w:rFonts w:ascii="Times New Roman" w:cs="Times New Roman" w:eastAsia="Times New Roman" w:hAnsi="Times New Roman"/>
                <w:sz w:val="14"/>
                <w:szCs w:val="14"/>
                <w:color w:val="auto"/>
              </w:rPr>
              <w:t>Interests</w:t>
            </w:r>
          </w:p>
        </w:tc>
        <w:tc>
          <w:tcPr>
            <w:tcW w:w="0" w:type="dxa"/>
            <w:vAlign w:val="bottom"/>
          </w:tcPr>
          <w:p>
            <w:pPr>
              <w:spacing w:after="0"/>
              <w:rPr>
                <w:sz w:val="1"/>
                <w:szCs w:val="1"/>
                <w:color w:val="auto"/>
              </w:rPr>
            </w:pPr>
          </w:p>
        </w:tc>
      </w:tr>
      <w:tr>
        <w:trPr>
          <w:trHeight w:val="202"/>
        </w:trPr>
        <w:tc>
          <w:tcPr>
            <w:tcW w:w="2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 at January 1, 2025</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701</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Borders>
              <w:bottom w:val="single" w:sz="8" w:color="auto"/>
            </w:tcBorders>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rPr>
              <w:t>16</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87</w:t>
            </w: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220,838</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170,044</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(2,762)</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33,078</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422,002</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327,917</w:t>
            </w:r>
          </w:p>
        </w:tc>
        <w:tc>
          <w:tcPr>
            <w:tcW w:w="0" w:type="dxa"/>
            <w:vAlign w:val="bottom"/>
          </w:tcPr>
          <w:p>
            <w:pPr>
              <w:spacing w:after="0"/>
              <w:rPr>
                <w:sz w:val="1"/>
                <w:szCs w:val="1"/>
                <w:color w:val="auto"/>
              </w:rPr>
            </w:pPr>
          </w:p>
        </w:tc>
      </w:tr>
      <w:tr>
        <w:trPr>
          <w:trHeight w:val="189"/>
        </w:trPr>
        <w:tc>
          <w:tcPr>
            <w:tcW w:w="25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income</w:t>
            </w:r>
          </w:p>
        </w:tc>
        <w:tc>
          <w:tcPr>
            <w:tcW w:w="12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660" w:type="dxa"/>
            <w:vAlign w:val="bottom"/>
          </w:tcPr>
          <w:p>
            <w:pPr>
              <w:ind w:left="4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61,139</w:t>
            </w:r>
          </w:p>
        </w:tc>
        <w:tc>
          <w:tcPr>
            <w:tcW w:w="1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11,909</w:t>
            </w:r>
          </w:p>
        </w:tc>
        <w:tc>
          <w:tcPr>
            <w:tcW w:w="14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73,048</w:t>
            </w:r>
          </w:p>
        </w:tc>
        <w:tc>
          <w:tcPr>
            <w:tcW w:w="12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4,287</w:t>
            </w:r>
          </w:p>
        </w:tc>
        <w:tc>
          <w:tcPr>
            <w:tcW w:w="0" w:type="dxa"/>
            <w:vAlign w:val="bottom"/>
          </w:tcPr>
          <w:p>
            <w:pPr>
              <w:spacing w:after="0"/>
              <w:rPr>
                <w:sz w:val="1"/>
                <w:szCs w:val="1"/>
                <w:color w:val="auto"/>
              </w:rPr>
            </w:pPr>
          </w:p>
        </w:tc>
      </w:tr>
      <w:tr>
        <w:trPr>
          <w:trHeight w:val="142"/>
        </w:trPr>
        <w:tc>
          <w:tcPr>
            <w:tcW w:w="2500" w:type="dxa"/>
            <w:vAlign w:val="bottom"/>
            <w:shd w:val="clear" w:color="auto" w:fill="CCEEFF"/>
          </w:tcPr>
          <w:p>
            <w:pPr>
              <w:ind w:left="20"/>
              <w:spacing w:after="0" w:line="142" w:lineRule="exact"/>
              <w:rPr>
                <w:sz w:val="20"/>
                <w:szCs w:val="20"/>
                <w:color w:val="auto"/>
              </w:rPr>
            </w:pPr>
            <w:r>
              <w:rPr>
                <w:rFonts w:ascii="Times New Roman" w:cs="Times New Roman" w:eastAsia="Times New Roman" w:hAnsi="Times New Roman"/>
                <w:sz w:val="14"/>
                <w:szCs w:val="14"/>
                <w:color w:val="auto"/>
              </w:rPr>
              <w:t>Other comprehensive income - foreign</w:t>
            </w:r>
          </w:p>
        </w:tc>
        <w:tc>
          <w:tcPr>
            <w:tcW w:w="120" w:type="dxa"/>
            <w:vAlign w:val="bottom"/>
            <w:shd w:val="clear" w:color="auto" w:fill="CCEEFF"/>
          </w:tcPr>
          <w:p>
            <w:pPr>
              <w:spacing w:after="0"/>
              <w:rPr>
                <w:sz w:val="12"/>
                <w:szCs w:val="12"/>
                <w:color w:val="auto"/>
              </w:rPr>
            </w:pPr>
          </w:p>
        </w:tc>
        <w:tc>
          <w:tcPr>
            <w:tcW w:w="6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660" w:type="dxa"/>
            <w:vAlign w:val="bottom"/>
            <w:vMerge w:val="restart"/>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6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6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1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464</w:t>
            </w:r>
          </w:p>
        </w:tc>
        <w:tc>
          <w:tcPr>
            <w:tcW w:w="140" w:type="dxa"/>
            <w:vAlign w:val="bottom"/>
            <w:shd w:val="clear" w:color="auto" w:fill="CCEEFF"/>
          </w:tcPr>
          <w:p>
            <w:pPr>
              <w:spacing w:after="0"/>
              <w:rPr>
                <w:sz w:val="12"/>
                <w:szCs w:val="12"/>
                <w:color w:val="auto"/>
              </w:rPr>
            </w:pPr>
          </w:p>
        </w:tc>
        <w:tc>
          <w:tcPr>
            <w:tcW w:w="10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67</w:t>
            </w:r>
          </w:p>
        </w:tc>
        <w:tc>
          <w:tcPr>
            <w:tcW w:w="140" w:type="dxa"/>
            <w:vAlign w:val="bottom"/>
            <w:shd w:val="clear" w:color="auto" w:fill="CCEEFF"/>
          </w:tcPr>
          <w:p>
            <w:pPr>
              <w:spacing w:after="0"/>
              <w:rPr>
                <w:sz w:val="12"/>
                <w:szCs w:val="12"/>
                <w:color w:val="auto"/>
              </w:rPr>
            </w:pPr>
          </w:p>
        </w:tc>
        <w:tc>
          <w:tcPr>
            <w:tcW w:w="9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531</w:t>
            </w:r>
          </w:p>
        </w:tc>
        <w:tc>
          <w:tcPr>
            <w:tcW w:w="120" w:type="dxa"/>
            <w:vAlign w:val="bottom"/>
            <w:shd w:val="clear" w:color="auto" w:fill="CCEEFF"/>
          </w:tcPr>
          <w:p>
            <w:pPr>
              <w:spacing w:after="0"/>
              <w:rPr>
                <w:sz w:val="12"/>
                <w:szCs w:val="12"/>
                <w:color w:val="auto"/>
              </w:rPr>
            </w:pPr>
          </w:p>
        </w:tc>
        <w:tc>
          <w:tcPr>
            <w:tcW w:w="10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3"/>
        </w:trPr>
        <w:tc>
          <w:tcPr>
            <w:tcW w:w="2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currency translation</w:t>
            </w:r>
          </w:p>
        </w:tc>
        <w:tc>
          <w:tcPr>
            <w:tcW w:w="120" w:type="dxa"/>
            <w:vAlign w:val="bottom"/>
            <w:shd w:val="clear" w:color="auto" w:fill="CCEEFF"/>
          </w:tcPr>
          <w:p>
            <w:pPr>
              <w:spacing w:after="0"/>
              <w:rPr>
                <w:sz w:val="17"/>
                <w:szCs w:val="17"/>
                <w:color w:val="auto"/>
              </w:rPr>
            </w:pPr>
          </w:p>
        </w:tc>
        <w:tc>
          <w:tcPr>
            <w:tcW w:w="66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40" w:type="dxa"/>
            <w:vAlign w:val="bottom"/>
            <w:vMerge w:val="continue"/>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00" w:type="dxa"/>
            <w:vAlign w:val="bottom"/>
            <w:vMerge w:val="continue"/>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60" w:type="dxa"/>
            <w:vAlign w:val="bottom"/>
            <w:vMerge w:val="continue"/>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8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35"/>
        </w:trPr>
        <w:tc>
          <w:tcPr>
            <w:tcW w:w="2500" w:type="dxa"/>
            <w:vAlign w:val="bottom"/>
          </w:tcPr>
          <w:p>
            <w:pPr>
              <w:ind w:left="20"/>
              <w:spacing w:after="0" w:line="135" w:lineRule="exact"/>
              <w:rPr>
                <w:sz w:val="20"/>
                <w:szCs w:val="20"/>
                <w:color w:val="auto"/>
              </w:rPr>
            </w:pPr>
            <w:r>
              <w:rPr>
                <w:rFonts w:ascii="Times New Roman" w:cs="Times New Roman" w:eastAsia="Times New Roman" w:hAnsi="Times New Roman"/>
                <w:sz w:val="14"/>
                <w:szCs w:val="14"/>
                <w:color w:val="auto"/>
              </w:rPr>
              <w:t>Cumulative impact of changes in</w:t>
            </w: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9"/>
        </w:trPr>
        <w:tc>
          <w:tcPr>
            <w:tcW w:w="2500" w:type="dxa"/>
            <w:vAlign w:val="bottom"/>
          </w:tcPr>
          <w:p>
            <w:pPr>
              <w:ind w:left="20"/>
              <w:spacing w:after="0" w:line="139" w:lineRule="exact"/>
              <w:rPr>
                <w:sz w:val="20"/>
                <w:szCs w:val="20"/>
                <w:color w:val="auto"/>
              </w:rPr>
            </w:pPr>
            <w:r>
              <w:rPr>
                <w:rFonts w:ascii="Times New Roman" w:cs="Times New Roman" w:eastAsia="Times New Roman" w:hAnsi="Times New Roman"/>
                <w:sz w:val="14"/>
                <w:szCs w:val="14"/>
                <w:color w:val="auto"/>
              </w:rPr>
              <w:t>ownership of Artisan Partners Holdings</w:t>
            </w:r>
          </w:p>
        </w:tc>
        <w:tc>
          <w:tcPr>
            <w:tcW w:w="120" w:type="dxa"/>
            <w:vAlign w:val="bottom"/>
          </w:tcPr>
          <w:p>
            <w:pPr>
              <w:spacing w:after="0"/>
              <w:rPr>
                <w:sz w:val="12"/>
                <w:szCs w:val="12"/>
                <w:color w:val="auto"/>
              </w:rPr>
            </w:pP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660" w:type="dxa"/>
            <w:vAlign w:val="bottom"/>
            <w:vMerge w:val="restart"/>
          </w:tcPr>
          <w:p>
            <w:pPr>
              <w:ind w:left="4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(257)</w:t>
            </w:r>
          </w:p>
        </w:tc>
        <w:tc>
          <w:tcPr>
            <w:tcW w:w="120" w:type="dxa"/>
            <w:vAlign w:val="bottom"/>
          </w:tcPr>
          <w:p>
            <w:pPr>
              <w:spacing w:after="0"/>
              <w:rPr>
                <w:sz w:val="12"/>
                <w:szCs w:val="12"/>
                <w:color w:val="auto"/>
              </w:rPr>
            </w:pP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11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140" w:type="dxa"/>
            <w:vAlign w:val="bottom"/>
          </w:tcPr>
          <w:p>
            <w:pPr>
              <w:spacing w:after="0"/>
              <w:rPr>
                <w:sz w:val="12"/>
                <w:szCs w:val="12"/>
                <w:color w:val="auto"/>
              </w:rPr>
            </w:pPr>
          </w:p>
        </w:tc>
        <w:tc>
          <w:tcPr>
            <w:tcW w:w="10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260</w:t>
            </w:r>
          </w:p>
        </w:tc>
        <w:tc>
          <w:tcPr>
            <w:tcW w:w="140" w:type="dxa"/>
            <w:vAlign w:val="bottom"/>
          </w:tcPr>
          <w:p>
            <w:pPr>
              <w:spacing w:after="0"/>
              <w:rPr>
                <w:sz w:val="12"/>
                <w:szCs w:val="12"/>
                <w:color w:val="auto"/>
              </w:rPr>
            </w:pP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10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8"/>
        </w:trPr>
        <w:tc>
          <w:tcPr>
            <w:tcW w:w="25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LP</w:t>
            </w:r>
          </w:p>
        </w:tc>
        <w:tc>
          <w:tcPr>
            <w:tcW w:w="120" w:type="dxa"/>
            <w:vAlign w:val="bottom"/>
          </w:tcPr>
          <w:p>
            <w:pPr>
              <w:spacing w:after="0"/>
              <w:rPr>
                <w:sz w:val="16"/>
                <w:szCs w:val="16"/>
                <w:color w:val="auto"/>
              </w:rPr>
            </w:pPr>
          </w:p>
        </w:tc>
        <w:tc>
          <w:tcPr>
            <w:tcW w:w="66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106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2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5"/>
        </w:trPr>
        <w:tc>
          <w:tcPr>
            <w:tcW w:w="2500" w:type="dxa"/>
            <w:vAlign w:val="bottom"/>
            <w:shd w:val="clear" w:color="auto" w:fill="CCEEFF"/>
          </w:tcPr>
          <w:p>
            <w:pPr>
              <w:ind w:left="20"/>
              <w:spacing w:after="0" w:line="135" w:lineRule="exact"/>
              <w:rPr>
                <w:sz w:val="20"/>
                <w:szCs w:val="20"/>
                <w:color w:val="auto"/>
              </w:rPr>
            </w:pPr>
            <w:r>
              <w:rPr>
                <w:rFonts w:ascii="Times New Roman" w:cs="Times New Roman" w:eastAsia="Times New Roman" w:hAnsi="Times New Roman"/>
                <w:sz w:val="14"/>
                <w:szCs w:val="14"/>
                <w:color w:val="auto"/>
              </w:rPr>
              <w:t>Amortization of equity-based</w:t>
            </w:r>
          </w:p>
        </w:tc>
        <w:tc>
          <w:tcPr>
            <w:tcW w:w="120" w:type="dxa"/>
            <w:vAlign w:val="bottom"/>
            <w:shd w:val="clear" w:color="auto" w:fill="CCEEFF"/>
          </w:tcPr>
          <w:p>
            <w:pPr>
              <w:spacing w:after="0"/>
              <w:rPr>
                <w:sz w:val="11"/>
                <w:szCs w:val="11"/>
                <w:color w:val="auto"/>
              </w:rPr>
            </w:pPr>
          </w:p>
        </w:tc>
        <w:tc>
          <w:tcPr>
            <w:tcW w:w="6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1"/>
                <w:szCs w:val="11"/>
                <w:color w:val="auto"/>
              </w:rPr>
            </w:pPr>
          </w:p>
        </w:tc>
        <w:tc>
          <w:tcPr>
            <w:tcW w:w="660" w:type="dxa"/>
            <w:vAlign w:val="bottom"/>
            <w:vMerge w:val="restart"/>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1"/>
                <w:szCs w:val="11"/>
                <w:color w:val="auto"/>
              </w:rPr>
            </w:pPr>
          </w:p>
        </w:tc>
        <w:tc>
          <w:tcPr>
            <w:tcW w:w="6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1"/>
                <w:szCs w:val="11"/>
                <w:color w:val="auto"/>
              </w:rPr>
            </w:pP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8,162</w:t>
            </w:r>
          </w:p>
        </w:tc>
        <w:tc>
          <w:tcPr>
            <w:tcW w:w="120" w:type="dxa"/>
            <w:vAlign w:val="bottom"/>
            <w:shd w:val="clear" w:color="auto" w:fill="CCEEFF"/>
          </w:tcPr>
          <w:p>
            <w:pPr>
              <w:spacing w:after="0"/>
              <w:rPr>
                <w:sz w:val="11"/>
                <w:szCs w:val="11"/>
                <w:color w:val="auto"/>
              </w:rPr>
            </w:pPr>
          </w:p>
        </w:tc>
        <w:tc>
          <w:tcPr>
            <w:tcW w:w="6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1"/>
                <w:szCs w:val="11"/>
                <w:color w:val="auto"/>
              </w:rPr>
            </w:pPr>
          </w:p>
        </w:tc>
        <w:tc>
          <w:tcPr>
            <w:tcW w:w="1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1"/>
                <w:szCs w:val="11"/>
                <w:color w:val="auto"/>
              </w:rPr>
            </w:pPr>
          </w:p>
        </w:tc>
        <w:tc>
          <w:tcPr>
            <w:tcW w:w="10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333</w:t>
            </w:r>
          </w:p>
        </w:tc>
        <w:tc>
          <w:tcPr>
            <w:tcW w:w="140" w:type="dxa"/>
            <w:vAlign w:val="bottom"/>
            <w:shd w:val="clear" w:color="auto" w:fill="CCEEFF"/>
          </w:tcPr>
          <w:p>
            <w:pPr>
              <w:spacing w:after="0"/>
              <w:rPr>
                <w:sz w:val="11"/>
                <w:szCs w:val="11"/>
                <w:color w:val="auto"/>
              </w:rPr>
            </w:pPr>
          </w:p>
        </w:tc>
        <w:tc>
          <w:tcPr>
            <w:tcW w:w="9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8,495</w:t>
            </w:r>
          </w:p>
        </w:tc>
        <w:tc>
          <w:tcPr>
            <w:tcW w:w="120" w:type="dxa"/>
            <w:vAlign w:val="bottom"/>
            <w:shd w:val="clear" w:color="auto" w:fill="CCEEFF"/>
          </w:tcPr>
          <w:p>
            <w:pPr>
              <w:spacing w:after="0"/>
              <w:rPr>
                <w:sz w:val="11"/>
                <w:szCs w:val="11"/>
                <w:color w:val="auto"/>
              </w:rPr>
            </w:pPr>
          </w:p>
        </w:tc>
        <w:tc>
          <w:tcPr>
            <w:tcW w:w="10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3"/>
        </w:trPr>
        <w:tc>
          <w:tcPr>
            <w:tcW w:w="2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compensation</w:t>
            </w:r>
          </w:p>
        </w:tc>
        <w:tc>
          <w:tcPr>
            <w:tcW w:w="120" w:type="dxa"/>
            <w:vAlign w:val="bottom"/>
            <w:shd w:val="clear" w:color="auto" w:fill="CCEEFF"/>
          </w:tcPr>
          <w:p>
            <w:pPr>
              <w:spacing w:after="0"/>
              <w:rPr>
                <w:sz w:val="17"/>
                <w:szCs w:val="17"/>
                <w:color w:val="auto"/>
              </w:rPr>
            </w:pPr>
          </w:p>
        </w:tc>
        <w:tc>
          <w:tcPr>
            <w:tcW w:w="66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40" w:type="dxa"/>
            <w:vAlign w:val="bottom"/>
            <w:vMerge w:val="continue"/>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00" w:type="dxa"/>
            <w:vAlign w:val="bottom"/>
            <w:vMerge w:val="continue"/>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60" w:type="dxa"/>
            <w:vAlign w:val="bottom"/>
            <w:vMerge w:val="continue"/>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8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35"/>
        </w:trPr>
        <w:tc>
          <w:tcPr>
            <w:tcW w:w="2500" w:type="dxa"/>
            <w:vAlign w:val="bottom"/>
          </w:tcPr>
          <w:p>
            <w:pPr>
              <w:ind w:left="20"/>
              <w:spacing w:after="0" w:line="135" w:lineRule="exact"/>
              <w:rPr>
                <w:sz w:val="20"/>
                <w:szCs w:val="20"/>
                <w:color w:val="auto"/>
              </w:rPr>
            </w:pPr>
            <w:r>
              <w:rPr>
                <w:rFonts w:ascii="Times New Roman" w:cs="Times New Roman" w:eastAsia="Times New Roman" w:hAnsi="Times New Roman"/>
                <w:sz w:val="14"/>
                <w:szCs w:val="14"/>
                <w:color w:val="auto"/>
              </w:rPr>
              <w:t>Deferred tax assets, net of amounts</w:t>
            </w:r>
          </w:p>
        </w:tc>
        <w:tc>
          <w:tcPr>
            <w:tcW w:w="120" w:type="dxa"/>
            <w:vAlign w:val="bottom"/>
          </w:tcPr>
          <w:p>
            <w:pPr>
              <w:spacing w:after="0"/>
              <w:rPr>
                <w:sz w:val="11"/>
                <w:szCs w:val="11"/>
                <w:color w:val="auto"/>
              </w:rPr>
            </w:pP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1"/>
                <w:szCs w:val="11"/>
                <w:color w:val="auto"/>
              </w:rPr>
            </w:pPr>
          </w:p>
        </w:tc>
        <w:tc>
          <w:tcPr>
            <w:tcW w:w="660" w:type="dxa"/>
            <w:vAlign w:val="bottom"/>
            <w:vMerge w:val="restart"/>
          </w:tcPr>
          <w:p>
            <w:pPr>
              <w:ind w:left="4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1"/>
                <w:szCs w:val="11"/>
                <w:color w:val="auto"/>
              </w:rPr>
            </w:pP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1"/>
                <w:szCs w:val="11"/>
                <w:color w:val="auto"/>
              </w:rPr>
            </w:pP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189</w:t>
            </w:r>
          </w:p>
        </w:tc>
        <w:tc>
          <w:tcPr>
            <w:tcW w:w="120" w:type="dxa"/>
            <w:vAlign w:val="bottom"/>
          </w:tcPr>
          <w:p>
            <w:pPr>
              <w:spacing w:after="0"/>
              <w:rPr>
                <w:sz w:val="11"/>
                <w:szCs w:val="11"/>
                <w:color w:val="auto"/>
              </w:rPr>
            </w:pP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1"/>
                <w:szCs w:val="11"/>
                <w:color w:val="auto"/>
              </w:rPr>
            </w:pPr>
          </w:p>
        </w:tc>
        <w:tc>
          <w:tcPr>
            <w:tcW w:w="11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1"/>
                <w:szCs w:val="11"/>
                <w:color w:val="auto"/>
              </w:rPr>
            </w:pPr>
          </w:p>
        </w:tc>
        <w:tc>
          <w:tcPr>
            <w:tcW w:w="10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1"/>
                <w:szCs w:val="11"/>
                <w:color w:val="auto"/>
              </w:rPr>
            </w:pP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189</w:t>
            </w:r>
          </w:p>
        </w:tc>
        <w:tc>
          <w:tcPr>
            <w:tcW w:w="120" w:type="dxa"/>
            <w:vAlign w:val="bottom"/>
          </w:tcPr>
          <w:p>
            <w:pPr>
              <w:spacing w:after="0"/>
              <w:rPr>
                <w:sz w:val="11"/>
                <w:szCs w:val="11"/>
                <w:color w:val="auto"/>
              </w:rPr>
            </w:pPr>
          </w:p>
        </w:tc>
        <w:tc>
          <w:tcPr>
            <w:tcW w:w="10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5"/>
        </w:trPr>
        <w:tc>
          <w:tcPr>
            <w:tcW w:w="25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payable under tax receivable agreements</w:t>
            </w:r>
          </w:p>
        </w:tc>
        <w:tc>
          <w:tcPr>
            <w:tcW w:w="120" w:type="dxa"/>
            <w:vAlign w:val="bottom"/>
          </w:tcPr>
          <w:p>
            <w:pPr>
              <w:spacing w:after="0"/>
              <w:rPr>
                <w:sz w:val="16"/>
                <w:szCs w:val="16"/>
                <w:color w:val="auto"/>
              </w:rPr>
            </w:pPr>
          </w:p>
        </w:tc>
        <w:tc>
          <w:tcPr>
            <w:tcW w:w="66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106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2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Issuance of restricted stock awards</w:t>
            </w: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5"/>
        </w:trPr>
        <w:tc>
          <w:tcPr>
            <w:tcW w:w="25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Employee net share settlement</w:t>
            </w:r>
          </w:p>
        </w:tc>
        <w:tc>
          <w:tcPr>
            <w:tcW w:w="12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120" w:type="dxa"/>
            <w:vAlign w:val="bottom"/>
          </w:tcPr>
          <w:p>
            <w:pPr>
              <w:spacing w:after="0"/>
              <w:rPr>
                <w:sz w:val="16"/>
                <w:szCs w:val="16"/>
                <w:color w:val="auto"/>
              </w:rPr>
            </w:pPr>
          </w:p>
        </w:tc>
        <w:tc>
          <w:tcPr>
            <w:tcW w:w="660" w:type="dxa"/>
            <w:vAlign w:val="bottom"/>
          </w:tcPr>
          <w:p>
            <w:pPr>
              <w:ind w:left="4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(7,450)</w:t>
            </w:r>
          </w:p>
        </w:tc>
        <w:tc>
          <w:tcPr>
            <w:tcW w:w="12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(1,092)</w:t>
            </w:r>
          </w:p>
        </w:tc>
        <w:tc>
          <w:tcPr>
            <w:tcW w:w="14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(8,545)</w:t>
            </w:r>
          </w:p>
        </w:tc>
        <w:tc>
          <w:tcPr>
            <w:tcW w:w="12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10"/>
        </w:trPr>
        <w:tc>
          <w:tcPr>
            <w:tcW w:w="2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Exchange of subsidiary equity</w:t>
            </w: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4"/>
                <w:szCs w:val="14"/>
                <w:color w:val="auto"/>
                <w:w w:val="97"/>
              </w:rPr>
              <w:t>(4)</w:t>
            </w: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5"/>
        </w:trPr>
        <w:tc>
          <w:tcPr>
            <w:tcW w:w="25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Capital contributions, net</w:t>
            </w:r>
          </w:p>
        </w:tc>
        <w:tc>
          <w:tcPr>
            <w:tcW w:w="12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660" w:type="dxa"/>
            <w:vAlign w:val="bottom"/>
          </w:tcPr>
          <w:p>
            <w:pPr>
              <w:ind w:left="4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17,764</w:t>
            </w:r>
          </w:p>
        </w:tc>
        <w:tc>
          <w:tcPr>
            <w:tcW w:w="0" w:type="dxa"/>
            <w:vAlign w:val="bottom"/>
          </w:tcPr>
          <w:p>
            <w:pPr>
              <w:spacing w:after="0"/>
              <w:rPr>
                <w:sz w:val="1"/>
                <w:szCs w:val="1"/>
                <w:color w:val="auto"/>
              </w:rPr>
            </w:pPr>
          </w:p>
        </w:tc>
      </w:tr>
      <w:tr>
        <w:trPr>
          <w:trHeight w:val="210"/>
        </w:trPr>
        <w:tc>
          <w:tcPr>
            <w:tcW w:w="2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Impact of deconsolidation of CIPs</w:t>
            </w: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(242,372)</w:t>
            </w:r>
          </w:p>
        </w:tc>
        <w:tc>
          <w:tcPr>
            <w:tcW w:w="0" w:type="dxa"/>
            <w:vAlign w:val="bottom"/>
          </w:tcPr>
          <w:p>
            <w:pPr>
              <w:spacing w:after="0"/>
              <w:rPr>
                <w:sz w:val="1"/>
                <w:szCs w:val="1"/>
                <w:color w:val="auto"/>
              </w:rPr>
            </w:pPr>
          </w:p>
        </w:tc>
      </w:tr>
      <w:tr>
        <w:trPr>
          <w:trHeight w:val="195"/>
        </w:trPr>
        <w:tc>
          <w:tcPr>
            <w:tcW w:w="25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Distributions</w:t>
            </w:r>
          </w:p>
        </w:tc>
        <w:tc>
          <w:tcPr>
            <w:tcW w:w="12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660" w:type="dxa"/>
            <w:vAlign w:val="bottom"/>
          </w:tcPr>
          <w:p>
            <w:pPr>
              <w:ind w:left="4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(6,378)</w:t>
            </w:r>
          </w:p>
        </w:tc>
        <w:tc>
          <w:tcPr>
            <w:tcW w:w="14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(6,378)</w:t>
            </w:r>
          </w:p>
        </w:tc>
        <w:tc>
          <w:tcPr>
            <w:tcW w:w="12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3"/>
        </w:trPr>
        <w:tc>
          <w:tcPr>
            <w:tcW w:w="2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Dividends</w:t>
            </w:r>
          </w:p>
        </w:tc>
        <w:tc>
          <w:tcPr>
            <w:tcW w:w="120" w:type="dxa"/>
            <w:vAlign w:val="bottom"/>
            <w:tcBorders>
              <w:bottom w:val="single" w:sz="8" w:color="auto"/>
            </w:tcBorders>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auto"/>
            </w:tcBorders>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auto"/>
            </w:tcBorders>
            <w:shd w:val="clear" w:color="auto" w:fill="CCEEFF"/>
          </w:tcPr>
          <w:p>
            <w:pPr>
              <w:spacing w:after="0"/>
              <w:rPr>
                <w:sz w:val="17"/>
                <w:szCs w:val="17"/>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auto"/>
            </w:tcBorders>
            <w:shd w:val="clear" w:color="auto" w:fill="CCEEFF"/>
          </w:tcPr>
          <w:p>
            <w:pPr>
              <w:spacing w:after="0"/>
              <w:rPr>
                <w:sz w:val="17"/>
                <w:szCs w:val="17"/>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(94,648)</w:t>
            </w:r>
          </w:p>
        </w:tc>
        <w:tc>
          <w:tcPr>
            <w:tcW w:w="14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auto"/>
            </w:tcBorders>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w:t>
            </w:r>
          </w:p>
        </w:tc>
        <w:tc>
          <w:tcPr>
            <w:tcW w:w="140" w:type="dxa"/>
            <w:vAlign w:val="bottom"/>
            <w:tcBorders>
              <w:bottom w:val="single" w:sz="8" w:color="auto"/>
            </w:tcBorders>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(94,697)</w:t>
            </w:r>
          </w:p>
        </w:tc>
        <w:tc>
          <w:tcPr>
            <w:tcW w:w="120" w:type="dxa"/>
            <w:vAlign w:val="bottom"/>
            <w:tcBorders>
              <w:bottom w:val="single" w:sz="8" w:color="auto"/>
            </w:tcBorders>
            <w:shd w:val="clear" w:color="auto" w:fill="CCEEFF"/>
          </w:tcPr>
          <w:p>
            <w:pPr>
              <w:spacing w:after="0"/>
              <w:rPr>
                <w:sz w:val="17"/>
                <w:szCs w:val="17"/>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3"/>
        </w:trPr>
        <w:tc>
          <w:tcPr>
            <w:tcW w:w="25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Balance at March 31, 2025</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704</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Borders>
              <w:bottom w:val="single" w:sz="8" w:color="auto"/>
            </w:tcBorders>
          </w:tcPr>
          <w:p>
            <w:pPr>
              <w:ind w:left="460"/>
              <w:spacing w:after="0"/>
              <w:rPr>
                <w:sz w:val="20"/>
                <w:szCs w:val="20"/>
                <w:color w:val="auto"/>
              </w:rPr>
            </w:pPr>
            <w:r>
              <w:rPr>
                <w:rFonts w:ascii="Times New Roman" w:cs="Times New Roman" w:eastAsia="Times New Roman" w:hAnsi="Times New Roman"/>
                <w:sz w:val="14"/>
                <w:szCs w:val="14"/>
                <w:color w:val="auto"/>
              </w:rPr>
              <w:t>12</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90</w:t>
            </w: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221,477</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136,535</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(2,301)</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38,128</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394,645</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107,596</w:t>
            </w:r>
          </w:p>
        </w:tc>
        <w:tc>
          <w:tcPr>
            <w:tcW w:w="0" w:type="dxa"/>
            <w:vAlign w:val="bottom"/>
          </w:tcPr>
          <w:p>
            <w:pPr>
              <w:spacing w:after="0"/>
              <w:rPr>
                <w:sz w:val="1"/>
                <w:szCs w:val="1"/>
                <w:color w:val="auto"/>
              </w:rPr>
            </w:pPr>
          </w:p>
        </w:tc>
      </w:tr>
    </w:tbl>
    <w:p>
      <w:pPr>
        <w:spacing w:after="0" w:line="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The accompanying notes are an integral part of the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1590675</wp:posOffset>
            </wp:positionH>
            <wp:positionV relativeFrom="paragraph">
              <wp:posOffset>-107315</wp:posOffset>
            </wp:positionV>
            <wp:extent cx="554609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546090" cy="8890"/>
                    </a:xfrm>
                    <a:prstGeom prst="rect">
                      <a:avLst/>
                    </a:prstGeom>
                    <a:noFill/>
                  </pic:spPr>
                </pic:pic>
              </a:graphicData>
            </a:graphic>
          </wp:anchor>
        </w:drawing>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7" w:name="page8"/>
    <w:bookmarkEnd w:id="7"/>
    <w:tbl>
      <w:tblPr>
        <w:tblLayout w:type="fixed"/>
        <w:tblInd w:w="0" w:type="dxa"/>
        <w:tblCellMar>
          <w:top w:w="0" w:type="dxa"/>
          <w:left w:w="0" w:type="dxa"/>
          <w:bottom w:w="0" w:type="dxa"/>
          <w:right w:w="0" w:type="dxa"/>
        </w:tblCellMar>
      </w:tblPr>
      <w:tr>
        <w:trPr>
          <w:trHeight w:val="161"/>
        </w:trPr>
        <w:tc>
          <w:tcPr>
            <w:tcW w:w="8100" w:type="dxa"/>
            <w:vAlign w:val="bottom"/>
            <w:gridSpan w:val="2"/>
          </w:tcPr>
          <w:p>
            <w:pPr>
              <w:spacing w:after="0"/>
              <w:rPr>
                <w:sz w:val="20"/>
                <w:szCs w:val="20"/>
                <w:color w:val="auto"/>
              </w:rPr>
            </w:pPr>
            <w:r>
              <w:rPr>
                <w:rFonts w:ascii="Times New Roman" w:cs="Times New Roman" w:eastAsia="Times New Roman" w:hAnsi="Times New Roman"/>
                <w:sz w:val="14"/>
                <w:szCs w:val="14"/>
                <w:color w:val="0000FF"/>
              </w:rPr>
              <w:t>Table of Contents</w:t>
            </w:r>
          </w:p>
        </w:tc>
        <w:tc>
          <w:tcPr>
            <w:tcW w:w="14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2"/>
        </w:trPr>
        <w:tc>
          <w:tcPr>
            <w:tcW w:w="1020" w:type="dxa"/>
            <w:vAlign w:val="bottom"/>
            <w:tcBorders>
              <w:top w:val="single" w:sz="8" w:color="0000FF"/>
            </w:tcBorders>
          </w:tcPr>
          <w:p>
            <w:pPr>
              <w:spacing w:after="0"/>
              <w:rPr>
                <w:sz w:val="24"/>
                <w:szCs w:val="24"/>
                <w:color w:val="auto"/>
              </w:rPr>
            </w:pPr>
          </w:p>
        </w:tc>
        <w:tc>
          <w:tcPr>
            <w:tcW w:w="7080" w:type="dxa"/>
            <w:vAlign w:val="bottom"/>
          </w:tcPr>
          <w:p>
            <w:pPr>
              <w:jc w:val="center"/>
              <w:ind w:left="2059"/>
              <w:spacing w:after="0"/>
              <w:rPr>
                <w:sz w:val="20"/>
                <w:szCs w:val="20"/>
                <w:color w:val="auto"/>
              </w:rPr>
            </w:pPr>
            <w:r>
              <w:rPr>
                <w:rFonts w:ascii="Times New Roman" w:cs="Times New Roman" w:eastAsia="Times New Roman" w:hAnsi="Times New Roman"/>
                <w:sz w:val="16"/>
                <w:szCs w:val="16"/>
                <w:b w:val="1"/>
                <w:bCs w:val="1"/>
                <w:color w:val="auto"/>
              </w:rPr>
              <w:t>ARTISAN PARTNERS ASSET MANAGEMENT INC.</w:t>
            </w:r>
          </w:p>
        </w:tc>
        <w:tc>
          <w:tcPr>
            <w:tcW w:w="1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1020" w:type="dxa"/>
            <w:vAlign w:val="bottom"/>
          </w:tcPr>
          <w:p>
            <w:pPr>
              <w:spacing w:after="0"/>
              <w:rPr>
                <w:sz w:val="17"/>
                <w:szCs w:val="17"/>
                <w:color w:val="auto"/>
              </w:rPr>
            </w:pPr>
          </w:p>
        </w:tc>
        <w:tc>
          <w:tcPr>
            <w:tcW w:w="7080" w:type="dxa"/>
            <w:vAlign w:val="bottom"/>
          </w:tcPr>
          <w:p>
            <w:pPr>
              <w:jc w:val="center"/>
              <w:ind w:left="2059"/>
              <w:spacing w:after="0"/>
              <w:rPr>
                <w:sz w:val="20"/>
                <w:szCs w:val="20"/>
                <w:color w:val="auto"/>
              </w:rPr>
            </w:pPr>
            <w:r>
              <w:rPr>
                <w:rFonts w:ascii="Times New Roman" w:cs="Times New Roman" w:eastAsia="Times New Roman" w:hAnsi="Times New Roman"/>
                <w:sz w:val="16"/>
                <w:szCs w:val="16"/>
                <w:b w:val="1"/>
                <w:bCs w:val="1"/>
                <w:color w:val="auto"/>
              </w:rPr>
              <w:t>Unaudited Consolidated Statements of Cash Flows</w:t>
            </w:r>
          </w:p>
        </w:tc>
        <w:tc>
          <w:tcPr>
            <w:tcW w:w="14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1020" w:type="dxa"/>
            <w:vAlign w:val="bottom"/>
          </w:tcPr>
          <w:p>
            <w:pPr>
              <w:spacing w:after="0"/>
              <w:rPr>
                <w:sz w:val="18"/>
                <w:szCs w:val="18"/>
                <w:color w:val="auto"/>
              </w:rPr>
            </w:pPr>
          </w:p>
        </w:tc>
        <w:tc>
          <w:tcPr>
            <w:tcW w:w="7080" w:type="dxa"/>
            <w:vAlign w:val="bottom"/>
          </w:tcPr>
          <w:p>
            <w:pPr>
              <w:jc w:val="center"/>
              <w:ind w:left="2039"/>
              <w:spacing w:after="0"/>
              <w:rPr>
                <w:sz w:val="20"/>
                <w:szCs w:val="20"/>
                <w:color w:val="auto"/>
              </w:rPr>
            </w:pPr>
            <w:r>
              <w:rPr>
                <w:rFonts w:ascii="Times New Roman" w:cs="Times New Roman" w:eastAsia="Times New Roman" w:hAnsi="Times New Roman"/>
                <w:sz w:val="16"/>
                <w:szCs w:val="16"/>
                <w:b w:val="1"/>
                <w:bCs w:val="1"/>
                <w:color w:val="auto"/>
              </w:rPr>
              <w:t>(U.S. dollars in thousands)</w:t>
            </w:r>
          </w:p>
        </w:tc>
        <w:tc>
          <w:tcPr>
            <w:tcW w:w="1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2"/>
        </w:trPr>
        <w:tc>
          <w:tcPr>
            <w:tcW w:w="1020" w:type="dxa"/>
            <w:vAlign w:val="bottom"/>
          </w:tcPr>
          <w:p>
            <w:pPr>
              <w:spacing w:after="0"/>
              <w:rPr>
                <w:sz w:val="20"/>
                <w:szCs w:val="20"/>
                <w:color w:val="auto"/>
              </w:rPr>
            </w:pPr>
          </w:p>
        </w:tc>
        <w:tc>
          <w:tcPr>
            <w:tcW w:w="70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3000" w:type="dxa"/>
            <w:vAlign w:val="bottom"/>
            <w:tcBorders>
              <w:bottom w:val="single" w:sz="8" w:color="auto"/>
            </w:tcBorders>
            <w:gridSpan w:val="4"/>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rPr>
              <w:t>For the Three Months Ended March 31,</w:t>
            </w:r>
          </w:p>
        </w:tc>
        <w:tc>
          <w:tcPr>
            <w:tcW w:w="0" w:type="dxa"/>
            <w:vAlign w:val="bottom"/>
          </w:tcPr>
          <w:p>
            <w:pPr>
              <w:spacing w:after="0"/>
              <w:rPr>
                <w:sz w:val="1"/>
                <w:szCs w:val="1"/>
                <w:color w:val="auto"/>
              </w:rPr>
            </w:pPr>
          </w:p>
        </w:tc>
      </w:tr>
      <w:tr>
        <w:trPr>
          <w:trHeight w:val="211"/>
        </w:trPr>
        <w:tc>
          <w:tcPr>
            <w:tcW w:w="1020" w:type="dxa"/>
            <w:vAlign w:val="bottom"/>
            <w:tcBorders>
              <w:bottom w:val="single" w:sz="8" w:color="CCEEFF"/>
            </w:tcBorders>
          </w:tcPr>
          <w:p>
            <w:pPr>
              <w:spacing w:after="0"/>
              <w:rPr>
                <w:sz w:val="18"/>
                <w:szCs w:val="18"/>
                <w:color w:val="auto"/>
              </w:rPr>
            </w:pPr>
          </w:p>
        </w:tc>
        <w:tc>
          <w:tcPr>
            <w:tcW w:w="70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ind w:right="519"/>
              <w:spacing w:after="0"/>
              <w:rPr>
                <w:sz w:val="20"/>
                <w:szCs w:val="20"/>
                <w:color w:val="auto"/>
              </w:rPr>
            </w:pPr>
            <w:r>
              <w:rPr>
                <w:rFonts w:ascii="Times New Roman" w:cs="Times New Roman" w:eastAsia="Times New Roman" w:hAnsi="Times New Roman"/>
                <w:sz w:val="16"/>
                <w:szCs w:val="16"/>
                <w:b w:val="1"/>
                <w:bCs w:val="1"/>
                <w:color w:val="auto"/>
              </w:rPr>
              <w:t>2026</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519"/>
              <w:spacing w:after="0"/>
              <w:rPr>
                <w:sz w:val="20"/>
                <w:szCs w:val="20"/>
                <w:color w:val="auto"/>
              </w:rPr>
            </w:pPr>
            <w:r>
              <w:rPr>
                <w:rFonts w:ascii="Times New Roman" w:cs="Times New Roman" w:eastAsia="Times New Roman" w:hAnsi="Times New Roman"/>
                <w:sz w:val="16"/>
                <w:szCs w:val="16"/>
                <w:b w:val="1"/>
                <w:bCs w:val="1"/>
                <w:color w:val="auto"/>
              </w:rPr>
              <w:t>2025</w:t>
            </w:r>
          </w:p>
        </w:tc>
        <w:tc>
          <w:tcPr>
            <w:tcW w:w="0" w:type="dxa"/>
            <w:vAlign w:val="bottom"/>
          </w:tcPr>
          <w:p>
            <w:pPr>
              <w:spacing w:after="0"/>
              <w:rPr>
                <w:sz w:val="1"/>
                <w:szCs w:val="1"/>
                <w:color w:val="auto"/>
              </w:rPr>
            </w:pPr>
          </w:p>
        </w:tc>
      </w:tr>
      <w:tr>
        <w:trPr>
          <w:trHeight w:val="198"/>
        </w:trPr>
        <w:tc>
          <w:tcPr>
            <w:tcW w:w="81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Cash flows from operating activities</w:t>
            </w:r>
          </w:p>
        </w:tc>
        <w:tc>
          <w:tcPr>
            <w:tcW w:w="14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8100" w:type="dxa"/>
            <w:vAlign w:val="bottom"/>
            <w:gridSpan w:val="2"/>
          </w:tcPr>
          <w:p>
            <w:pPr>
              <w:ind w:left="360"/>
              <w:spacing w:after="0"/>
              <w:rPr>
                <w:sz w:val="20"/>
                <w:szCs w:val="20"/>
                <w:color w:val="auto"/>
              </w:rPr>
            </w:pPr>
            <w:r>
              <w:rPr>
                <w:rFonts w:ascii="Times New Roman" w:cs="Times New Roman" w:eastAsia="Times New Roman" w:hAnsi="Times New Roman"/>
                <w:sz w:val="16"/>
                <w:szCs w:val="16"/>
                <w:color w:val="auto"/>
              </w:rPr>
              <w:t>Net income before noncontrolling interests</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67,618</w:t>
            </w:r>
          </w:p>
        </w:tc>
        <w:tc>
          <w:tcPr>
            <w:tcW w:w="100" w:type="dxa"/>
            <w:vAlign w:val="bottom"/>
          </w:tcPr>
          <w:p>
            <w:pPr>
              <w:spacing w:after="0"/>
              <w:rPr>
                <w:sz w:val="18"/>
                <w:szCs w:val="18"/>
                <w:color w:val="auto"/>
              </w:rPr>
            </w:pPr>
          </w:p>
        </w:tc>
        <w:tc>
          <w:tcPr>
            <w:tcW w:w="36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77,335</w:t>
            </w:r>
          </w:p>
        </w:tc>
        <w:tc>
          <w:tcPr>
            <w:tcW w:w="0" w:type="dxa"/>
            <w:vAlign w:val="bottom"/>
          </w:tcPr>
          <w:p>
            <w:pPr>
              <w:spacing w:after="0"/>
              <w:rPr>
                <w:sz w:val="1"/>
                <w:szCs w:val="1"/>
                <w:color w:val="auto"/>
              </w:rPr>
            </w:pPr>
          </w:p>
        </w:tc>
      </w:tr>
      <w:tr>
        <w:trPr>
          <w:trHeight w:val="219"/>
        </w:trPr>
        <w:tc>
          <w:tcPr>
            <w:tcW w:w="810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Adjustments to reconcile net income to net cash provided by operating activities:</w:t>
            </w:r>
          </w:p>
        </w:tc>
        <w:tc>
          <w:tcPr>
            <w:tcW w:w="14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8100" w:type="dxa"/>
            <w:vAlign w:val="bottom"/>
            <w:gridSpan w:val="2"/>
          </w:tcPr>
          <w:p>
            <w:pPr>
              <w:ind w:left="68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14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2,301</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2,493</w:t>
            </w:r>
          </w:p>
        </w:tc>
        <w:tc>
          <w:tcPr>
            <w:tcW w:w="0" w:type="dxa"/>
            <w:vAlign w:val="bottom"/>
          </w:tcPr>
          <w:p>
            <w:pPr>
              <w:spacing w:after="0"/>
              <w:rPr>
                <w:sz w:val="1"/>
                <w:szCs w:val="1"/>
                <w:color w:val="auto"/>
              </w:rPr>
            </w:pPr>
          </w:p>
        </w:tc>
      </w:tr>
      <w:tr>
        <w:trPr>
          <w:trHeight w:val="219"/>
        </w:trPr>
        <w:tc>
          <w:tcPr>
            <w:tcW w:w="8100" w:type="dxa"/>
            <w:vAlign w:val="bottom"/>
            <w:gridSpan w:val="2"/>
            <w:shd w:val="clear" w:color="auto" w:fill="CCEEFF"/>
          </w:tcPr>
          <w:p>
            <w:pPr>
              <w:ind w:left="680"/>
              <w:spacing w:after="0"/>
              <w:rPr>
                <w:sz w:val="20"/>
                <w:szCs w:val="20"/>
                <w:color w:val="auto"/>
              </w:rPr>
            </w:pPr>
            <w:r>
              <w:rPr>
                <w:rFonts w:ascii="Times New Roman" w:cs="Times New Roman" w:eastAsia="Times New Roman" w:hAnsi="Times New Roman"/>
                <w:sz w:val="16"/>
                <w:szCs w:val="16"/>
                <w:color w:val="auto"/>
              </w:rPr>
              <w:t>Deferred income taxes</w:t>
            </w:r>
          </w:p>
        </w:tc>
        <w:tc>
          <w:tcPr>
            <w:tcW w:w="14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10,666</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10,816</w:t>
            </w:r>
          </w:p>
        </w:tc>
        <w:tc>
          <w:tcPr>
            <w:tcW w:w="0" w:type="dxa"/>
            <w:vAlign w:val="bottom"/>
          </w:tcPr>
          <w:p>
            <w:pPr>
              <w:spacing w:after="0"/>
              <w:rPr>
                <w:sz w:val="1"/>
                <w:szCs w:val="1"/>
                <w:color w:val="auto"/>
              </w:rPr>
            </w:pPr>
          </w:p>
        </w:tc>
      </w:tr>
      <w:tr>
        <w:trPr>
          <w:trHeight w:val="213"/>
        </w:trPr>
        <w:tc>
          <w:tcPr>
            <w:tcW w:w="8100" w:type="dxa"/>
            <w:vAlign w:val="bottom"/>
            <w:gridSpan w:val="2"/>
          </w:tcPr>
          <w:p>
            <w:pPr>
              <w:ind w:left="680"/>
              <w:spacing w:after="0"/>
              <w:rPr>
                <w:sz w:val="20"/>
                <w:szCs w:val="20"/>
                <w:color w:val="auto"/>
              </w:rPr>
            </w:pPr>
            <w:r>
              <w:rPr>
                <w:rFonts w:ascii="Times New Roman" w:cs="Times New Roman" w:eastAsia="Times New Roman" w:hAnsi="Times New Roman"/>
                <w:sz w:val="16"/>
                <w:szCs w:val="16"/>
                <w:color w:val="auto"/>
              </w:rPr>
              <w:t>Noncash lease expense (benefit)</w:t>
            </w:r>
          </w:p>
        </w:tc>
        <w:tc>
          <w:tcPr>
            <w:tcW w:w="14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122</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w:t>
            </w:r>
          </w:p>
        </w:tc>
        <w:tc>
          <w:tcPr>
            <w:tcW w:w="0" w:type="dxa"/>
            <w:vAlign w:val="bottom"/>
          </w:tcPr>
          <w:p>
            <w:pPr>
              <w:spacing w:after="0"/>
              <w:rPr>
                <w:sz w:val="1"/>
                <w:szCs w:val="1"/>
                <w:color w:val="auto"/>
              </w:rPr>
            </w:pPr>
          </w:p>
        </w:tc>
      </w:tr>
      <w:tr>
        <w:trPr>
          <w:trHeight w:val="219"/>
        </w:trPr>
        <w:tc>
          <w:tcPr>
            <w:tcW w:w="8100" w:type="dxa"/>
            <w:vAlign w:val="bottom"/>
            <w:gridSpan w:val="2"/>
            <w:shd w:val="clear" w:color="auto" w:fill="CCEEFF"/>
          </w:tcPr>
          <w:p>
            <w:pPr>
              <w:ind w:left="680"/>
              <w:spacing w:after="0"/>
              <w:rPr>
                <w:sz w:val="20"/>
                <w:szCs w:val="20"/>
                <w:color w:val="auto"/>
              </w:rPr>
            </w:pPr>
            <w:r>
              <w:rPr>
                <w:rFonts w:ascii="Times New Roman" w:cs="Times New Roman" w:eastAsia="Times New Roman" w:hAnsi="Times New Roman"/>
                <w:sz w:val="16"/>
                <w:szCs w:val="16"/>
                <w:color w:val="auto"/>
              </w:rPr>
              <w:t>Net investment (gain) loss on nonconsolidated investment securities</w:t>
            </w:r>
          </w:p>
        </w:tc>
        <w:tc>
          <w:tcPr>
            <w:tcW w:w="14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5,088</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(3,817)</w:t>
            </w:r>
          </w:p>
        </w:tc>
        <w:tc>
          <w:tcPr>
            <w:tcW w:w="0" w:type="dxa"/>
            <w:vAlign w:val="bottom"/>
          </w:tcPr>
          <w:p>
            <w:pPr>
              <w:spacing w:after="0"/>
              <w:rPr>
                <w:sz w:val="1"/>
                <w:szCs w:val="1"/>
                <w:color w:val="auto"/>
              </w:rPr>
            </w:pPr>
          </w:p>
        </w:tc>
      </w:tr>
      <w:tr>
        <w:trPr>
          <w:trHeight w:val="213"/>
        </w:trPr>
        <w:tc>
          <w:tcPr>
            <w:tcW w:w="8100" w:type="dxa"/>
            <w:vAlign w:val="bottom"/>
            <w:gridSpan w:val="2"/>
          </w:tcPr>
          <w:p>
            <w:pPr>
              <w:ind w:left="680"/>
              <w:spacing w:after="0"/>
              <w:rPr>
                <w:sz w:val="20"/>
                <w:szCs w:val="20"/>
                <w:color w:val="auto"/>
              </w:rPr>
            </w:pPr>
            <w:r>
              <w:rPr>
                <w:rFonts w:ascii="Times New Roman" w:cs="Times New Roman" w:eastAsia="Times New Roman" w:hAnsi="Times New Roman"/>
                <w:sz w:val="16"/>
                <w:szCs w:val="16"/>
                <w:color w:val="auto"/>
              </w:rPr>
              <w:t>(Gain) loss on disposal of property and equipment</w:t>
            </w:r>
          </w:p>
        </w:tc>
        <w:tc>
          <w:tcPr>
            <w:tcW w:w="14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150</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9"/>
        </w:trPr>
        <w:tc>
          <w:tcPr>
            <w:tcW w:w="8100" w:type="dxa"/>
            <w:vAlign w:val="bottom"/>
            <w:gridSpan w:val="2"/>
            <w:shd w:val="clear" w:color="auto" w:fill="CCEEFF"/>
          </w:tcPr>
          <w:p>
            <w:pPr>
              <w:ind w:left="680"/>
              <w:spacing w:after="0"/>
              <w:rPr>
                <w:sz w:val="20"/>
                <w:szCs w:val="20"/>
                <w:color w:val="auto"/>
              </w:rPr>
            </w:pPr>
            <w:r>
              <w:rPr>
                <w:rFonts w:ascii="Times New Roman" w:cs="Times New Roman" w:eastAsia="Times New Roman" w:hAnsi="Times New Roman"/>
                <w:sz w:val="16"/>
                <w:szCs w:val="16"/>
                <w:color w:val="auto"/>
              </w:rPr>
              <w:t>Amortization of debt issuance costs</w:t>
            </w:r>
          </w:p>
        </w:tc>
        <w:tc>
          <w:tcPr>
            <w:tcW w:w="14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117</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110</w:t>
            </w:r>
          </w:p>
        </w:tc>
        <w:tc>
          <w:tcPr>
            <w:tcW w:w="0" w:type="dxa"/>
            <w:vAlign w:val="bottom"/>
          </w:tcPr>
          <w:p>
            <w:pPr>
              <w:spacing w:after="0"/>
              <w:rPr>
                <w:sz w:val="1"/>
                <w:szCs w:val="1"/>
                <w:color w:val="auto"/>
              </w:rPr>
            </w:pPr>
          </w:p>
        </w:tc>
      </w:tr>
      <w:tr>
        <w:trPr>
          <w:trHeight w:val="213"/>
        </w:trPr>
        <w:tc>
          <w:tcPr>
            <w:tcW w:w="8100" w:type="dxa"/>
            <w:vAlign w:val="bottom"/>
            <w:gridSpan w:val="2"/>
          </w:tcPr>
          <w:p>
            <w:pPr>
              <w:ind w:left="680"/>
              <w:spacing w:after="0"/>
              <w:rPr>
                <w:sz w:val="20"/>
                <w:szCs w:val="20"/>
                <w:color w:val="auto"/>
              </w:rPr>
            </w:pPr>
            <w:r>
              <w:rPr>
                <w:rFonts w:ascii="Times New Roman" w:cs="Times New Roman" w:eastAsia="Times New Roman" w:hAnsi="Times New Roman"/>
                <w:sz w:val="16"/>
                <w:szCs w:val="16"/>
                <w:color w:val="auto"/>
              </w:rPr>
              <w:t>Share-based compensation</w:t>
            </w:r>
          </w:p>
        </w:tc>
        <w:tc>
          <w:tcPr>
            <w:tcW w:w="14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8,388</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8,495</w:t>
            </w:r>
          </w:p>
        </w:tc>
        <w:tc>
          <w:tcPr>
            <w:tcW w:w="0" w:type="dxa"/>
            <w:vAlign w:val="bottom"/>
          </w:tcPr>
          <w:p>
            <w:pPr>
              <w:spacing w:after="0"/>
              <w:rPr>
                <w:sz w:val="1"/>
                <w:szCs w:val="1"/>
                <w:color w:val="auto"/>
              </w:rPr>
            </w:pPr>
          </w:p>
        </w:tc>
      </w:tr>
      <w:tr>
        <w:trPr>
          <w:trHeight w:val="219"/>
        </w:trPr>
        <w:tc>
          <w:tcPr>
            <w:tcW w:w="8100" w:type="dxa"/>
            <w:vAlign w:val="bottom"/>
            <w:gridSpan w:val="2"/>
            <w:shd w:val="clear" w:color="auto" w:fill="CCEEFF"/>
          </w:tcPr>
          <w:p>
            <w:pPr>
              <w:ind w:left="680"/>
              <w:spacing w:after="0"/>
              <w:rPr>
                <w:sz w:val="20"/>
                <w:szCs w:val="20"/>
                <w:color w:val="auto"/>
              </w:rPr>
            </w:pPr>
            <w:r>
              <w:rPr>
                <w:rFonts w:ascii="Times New Roman" w:cs="Times New Roman" w:eastAsia="Times New Roman" w:hAnsi="Times New Roman"/>
                <w:sz w:val="16"/>
                <w:szCs w:val="16"/>
                <w:color w:val="auto"/>
              </w:rPr>
              <w:t>Net investment (gain) loss of consolidated investment products</w:t>
            </w:r>
          </w:p>
        </w:tc>
        <w:tc>
          <w:tcPr>
            <w:tcW w:w="14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2,561</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(7,101)</w:t>
            </w:r>
          </w:p>
        </w:tc>
        <w:tc>
          <w:tcPr>
            <w:tcW w:w="0" w:type="dxa"/>
            <w:vAlign w:val="bottom"/>
          </w:tcPr>
          <w:p>
            <w:pPr>
              <w:spacing w:after="0"/>
              <w:rPr>
                <w:sz w:val="1"/>
                <w:szCs w:val="1"/>
                <w:color w:val="auto"/>
              </w:rPr>
            </w:pPr>
          </w:p>
        </w:tc>
      </w:tr>
      <w:tr>
        <w:trPr>
          <w:trHeight w:val="213"/>
        </w:trPr>
        <w:tc>
          <w:tcPr>
            <w:tcW w:w="8100" w:type="dxa"/>
            <w:vAlign w:val="bottom"/>
            <w:gridSpan w:val="2"/>
          </w:tcPr>
          <w:p>
            <w:pPr>
              <w:ind w:left="680"/>
              <w:spacing w:after="0"/>
              <w:rPr>
                <w:sz w:val="20"/>
                <w:szCs w:val="20"/>
                <w:color w:val="auto"/>
              </w:rPr>
            </w:pPr>
            <w:r>
              <w:rPr>
                <w:rFonts w:ascii="Times New Roman" w:cs="Times New Roman" w:eastAsia="Times New Roman" w:hAnsi="Times New Roman"/>
                <w:sz w:val="16"/>
                <w:szCs w:val="16"/>
                <w:color w:val="auto"/>
              </w:rPr>
              <w:t>Purchase of investments by consolidated investment products</w:t>
            </w:r>
          </w:p>
        </w:tc>
        <w:tc>
          <w:tcPr>
            <w:tcW w:w="14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(125,594)</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(68,812)</w:t>
            </w:r>
          </w:p>
        </w:tc>
        <w:tc>
          <w:tcPr>
            <w:tcW w:w="0" w:type="dxa"/>
            <w:vAlign w:val="bottom"/>
          </w:tcPr>
          <w:p>
            <w:pPr>
              <w:spacing w:after="0"/>
              <w:rPr>
                <w:sz w:val="1"/>
                <w:szCs w:val="1"/>
                <w:color w:val="auto"/>
              </w:rPr>
            </w:pPr>
          </w:p>
        </w:tc>
      </w:tr>
      <w:tr>
        <w:trPr>
          <w:trHeight w:val="219"/>
        </w:trPr>
        <w:tc>
          <w:tcPr>
            <w:tcW w:w="8100" w:type="dxa"/>
            <w:vAlign w:val="bottom"/>
            <w:gridSpan w:val="2"/>
            <w:shd w:val="clear" w:color="auto" w:fill="CCEEFF"/>
          </w:tcPr>
          <w:p>
            <w:pPr>
              <w:ind w:left="680"/>
              <w:spacing w:after="0"/>
              <w:rPr>
                <w:sz w:val="20"/>
                <w:szCs w:val="20"/>
                <w:color w:val="auto"/>
              </w:rPr>
            </w:pPr>
            <w:r>
              <w:rPr>
                <w:rFonts w:ascii="Times New Roman" w:cs="Times New Roman" w:eastAsia="Times New Roman" w:hAnsi="Times New Roman"/>
                <w:sz w:val="16"/>
                <w:szCs w:val="16"/>
                <w:color w:val="auto"/>
              </w:rPr>
              <w:t>Proceeds from sale of investments by consolidated investment products</w:t>
            </w:r>
          </w:p>
        </w:tc>
        <w:tc>
          <w:tcPr>
            <w:tcW w:w="14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106,093</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35,182</w:t>
            </w:r>
          </w:p>
        </w:tc>
        <w:tc>
          <w:tcPr>
            <w:tcW w:w="0" w:type="dxa"/>
            <w:vAlign w:val="bottom"/>
          </w:tcPr>
          <w:p>
            <w:pPr>
              <w:spacing w:after="0"/>
              <w:rPr>
                <w:sz w:val="1"/>
                <w:szCs w:val="1"/>
                <w:color w:val="auto"/>
              </w:rPr>
            </w:pPr>
          </w:p>
        </w:tc>
      </w:tr>
      <w:tr>
        <w:trPr>
          <w:trHeight w:val="213"/>
        </w:trPr>
        <w:tc>
          <w:tcPr>
            <w:tcW w:w="8100" w:type="dxa"/>
            <w:vAlign w:val="bottom"/>
            <w:gridSpan w:val="2"/>
          </w:tcPr>
          <w:p>
            <w:pPr>
              <w:ind w:left="680"/>
              <w:spacing w:after="0"/>
              <w:rPr>
                <w:sz w:val="20"/>
                <w:szCs w:val="20"/>
                <w:color w:val="auto"/>
              </w:rPr>
            </w:pPr>
            <w:r>
              <w:rPr>
                <w:rFonts w:ascii="Times New Roman" w:cs="Times New Roman" w:eastAsia="Times New Roman" w:hAnsi="Times New Roman"/>
                <w:sz w:val="16"/>
                <w:szCs w:val="16"/>
                <w:color w:val="auto"/>
              </w:rPr>
              <w:t>Change in assets and liabilities resulting in an increase (decrease) in cash:</w:t>
            </w:r>
          </w:p>
        </w:tc>
        <w:tc>
          <w:tcPr>
            <w:tcW w:w="1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1020" w:type="dxa"/>
            <w:vAlign w:val="bottom"/>
            <w:shd w:val="clear" w:color="auto" w:fill="CCEEFF"/>
          </w:tcPr>
          <w:p>
            <w:pPr>
              <w:spacing w:after="0"/>
              <w:rPr>
                <w:sz w:val="19"/>
                <w:szCs w:val="19"/>
                <w:color w:val="auto"/>
              </w:rPr>
            </w:pPr>
          </w:p>
        </w:tc>
        <w:tc>
          <w:tcPr>
            <w:tcW w:w="70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Accounts receivable</w:t>
            </w:r>
          </w:p>
        </w:tc>
        <w:tc>
          <w:tcPr>
            <w:tcW w:w="14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11,816</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(3,228)</w:t>
            </w:r>
          </w:p>
        </w:tc>
        <w:tc>
          <w:tcPr>
            <w:tcW w:w="0" w:type="dxa"/>
            <w:vAlign w:val="bottom"/>
          </w:tcPr>
          <w:p>
            <w:pPr>
              <w:spacing w:after="0"/>
              <w:rPr>
                <w:sz w:val="1"/>
                <w:szCs w:val="1"/>
                <w:color w:val="auto"/>
              </w:rPr>
            </w:pPr>
          </w:p>
        </w:tc>
      </w:tr>
      <w:tr>
        <w:trPr>
          <w:trHeight w:val="213"/>
        </w:trPr>
        <w:tc>
          <w:tcPr>
            <w:tcW w:w="1020" w:type="dxa"/>
            <w:vAlign w:val="bottom"/>
          </w:tcPr>
          <w:p>
            <w:pPr>
              <w:spacing w:after="0"/>
              <w:rPr>
                <w:sz w:val="18"/>
                <w:szCs w:val="18"/>
                <w:color w:val="auto"/>
              </w:rPr>
            </w:pPr>
          </w:p>
        </w:tc>
        <w:tc>
          <w:tcPr>
            <w:tcW w:w="708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Prepaid expenses and other assets</w:t>
            </w:r>
          </w:p>
        </w:tc>
        <w:tc>
          <w:tcPr>
            <w:tcW w:w="14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345</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(2,660)</w:t>
            </w:r>
          </w:p>
        </w:tc>
        <w:tc>
          <w:tcPr>
            <w:tcW w:w="0" w:type="dxa"/>
            <w:vAlign w:val="bottom"/>
          </w:tcPr>
          <w:p>
            <w:pPr>
              <w:spacing w:after="0"/>
              <w:rPr>
                <w:sz w:val="1"/>
                <w:szCs w:val="1"/>
                <w:color w:val="auto"/>
              </w:rPr>
            </w:pPr>
          </w:p>
        </w:tc>
      </w:tr>
      <w:tr>
        <w:trPr>
          <w:trHeight w:val="219"/>
        </w:trPr>
        <w:tc>
          <w:tcPr>
            <w:tcW w:w="1020" w:type="dxa"/>
            <w:vAlign w:val="bottom"/>
            <w:shd w:val="clear" w:color="auto" w:fill="CCEEFF"/>
          </w:tcPr>
          <w:p>
            <w:pPr>
              <w:spacing w:after="0"/>
              <w:rPr>
                <w:sz w:val="19"/>
                <w:szCs w:val="19"/>
                <w:color w:val="auto"/>
              </w:rPr>
            </w:pPr>
          </w:p>
        </w:tc>
        <w:tc>
          <w:tcPr>
            <w:tcW w:w="70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Accounts payable and accrued expenses</w:t>
            </w:r>
          </w:p>
        </w:tc>
        <w:tc>
          <w:tcPr>
            <w:tcW w:w="14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93,269</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92,698</w:t>
            </w:r>
          </w:p>
        </w:tc>
        <w:tc>
          <w:tcPr>
            <w:tcW w:w="0" w:type="dxa"/>
            <w:vAlign w:val="bottom"/>
          </w:tcPr>
          <w:p>
            <w:pPr>
              <w:spacing w:after="0"/>
              <w:rPr>
                <w:sz w:val="1"/>
                <w:szCs w:val="1"/>
                <w:color w:val="auto"/>
              </w:rPr>
            </w:pPr>
          </w:p>
        </w:tc>
      </w:tr>
      <w:tr>
        <w:trPr>
          <w:trHeight w:val="162"/>
        </w:trPr>
        <w:tc>
          <w:tcPr>
            <w:tcW w:w="1020" w:type="dxa"/>
            <w:vAlign w:val="bottom"/>
          </w:tcPr>
          <w:p>
            <w:pPr>
              <w:spacing w:after="0"/>
              <w:rPr>
                <w:sz w:val="14"/>
                <w:szCs w:val="14"/>
                <w:color w:val="auto"/>
              </w:rPr>
            </w:pPr>
          </w:p>
        </w:tc>
        <w:tc>
          <w:tcPr>
            <w:tcW w:w="7080" w:type="dxa"/>
            <w:vAlign w:val="bottom"/>
          </w:tcPr>
          <w:p>
            <w:pPr>
              <w:ind w:left="100"/>
              <w:spacing w:after="0" w:line="162" w:lineRule="exact"/>
              <w:rPr>
                <w:sz w:val="20"/>
                <w:szCs w:val="20"/>
                <w:color w:val="auto"/>
              </w:rPr>
            </w:pPr>
            <w:r>
              <w:rPr>
                <w:rFonts w:ascii="Times New Roman" w:cs="Times New Roman" w:eastAsia="Times New Roman" w:hAnsi="Times New Roman"/>
                <w:sz w:val="16"/>
                <w:szCs w:val="16"/>
                <w:color w:val="auto"/>
              </w:rPr>
              <w:t>Net change in operating assets and liabilities of consolidated investment products including net investment</w:t>
            </w:r>
          </w:p>
        </w:tc>
        <w:tc>
          <w:tcPr>
            <w:tcW w:w="140" w:type="dxa"/>
            <w:vAlign w:val="bottom"/>
          </w:tcPr>
          <w:p>
            <w:pPr>
              <w:spacing w:after="0"/>
              <w:rPr>
                <w:sz w:val="14"/>
                <w:szCs w:val="14"/>
                <w:color w:val="auto"/>
              </w:rPr>
            </w:pPr>
          </w:p>
        </w:tc>
        <w:tc>
          <w:tcPr>
            <w:tcW w:w="13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(1,183)</w:t>
            </w: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16,401</w:t>
            </w:r>
          </w:p>
        </w:tc>
        <w:tc>
          <w:tcPr>
            <w:tcW w:w="0" w:type="dxa"/>
            <w:vAlign w:val="bottom"/>
          </w:tcPr>
          <w:p>
            <w:pPr>
              <w:spacing w:after="0"/>
              <w:rPr>
                <w:sz w:val="1"/>
                <w:szCs w:val="1"/>
                <w:color w:val="auto"/>
              </w:rPr>
            </w:pPr>
          </w:p>
        </w:tc>
      </w:tr>
      <w:tr>
        <w:trPr>
          <w:trHeight w:val="213"/>
        </w:trPr>
        <w:tc>
          <w:tcPr>
            <w:tcW w:w="1020" w:type="dxa"/>
            <w:vAlign w:val="bottom"/>
            <w:tcBorders>
              <w:bottom w:val="single" w:sz="8" w:color="CCEEFF"/>
            </w:tcBorders>
          </w:tcPr>
          <w:p>
            <w:pPr>
              <w:spacing w:after="0"/>
              <w:rPr>
                <w:sz w:val="18"/>
                <w:szCs w:val="18"/>
                <w:color w:val="auto"/>
              </w:rPr>
            </w:pPr>
          </w:p>
        </w:tc>
        <w:tc>
          <w:tcPr>
            <w:tcW w:w="708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6"/>
                <w:szCs w:val="16"/>
                <w:color w:val="auto"/>
              </w:rPr>
              <w:t>income</w:t>
            </w:r>
          </w:p>
        </w:tc>
        <w:tc>
          <w:tcPr>
            <w:tcW w:w="14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1020" w:type="dxa"/>
            <w:vAlign w:val="bottom"/>
            <w:shd w:val="clear" w:color="auto" w:fill="CCEEFF"/>
          </w:tcPr>
          <w:p>
            <w:pPr>
              <w:spacing w:after="0"/>
              <w:rPr>
                <w:sz w:val="18"/>
                <w:szCs w:val="18"/>
                <w:color w:val="auto"/>
              </w:rPr>
            </w:pPr>
          </w:p>
        </w:tc>
        <w:tc>
          <w:tcPr>
            <w:tcW w:w="7080" w:type="dxa"/>
            <w:vAlign w:val="bottom"/>
            <w:shd w:val="clear" w:color="auto" w:fill="CCEEFF"/>
          </w:tcPr>
          <w:p>
            <w:pPr>
              <w:ind w:left="620"/>
              <w:spacing w:after="0"/>
              <w:rPr>
                <w:sz w:val="20"/>
                <w:szCs w:val="20"/>
                <w:color w:val="auto"/>
              </w:rPr>
            </w:pPr>
            <w:r>
              <w:rPr>
                <w:rFonts w:ascii="Times New Roman" w:cs="Times New Roman" w:eastAsia="Times New Roman" w:hAnsi="Times New Roman"/>
                <w:sz w:val="16"/>
                <w:szCs w:val="16"/>
                <w:color w:val="auto"/>
              </w:rPr>
              <w:t>Net cash provided by operating activities</w:t>
            </w:r>
          </w:p>
        </w:tc>
        <w:tc>
          <w:tcPr>
            <w:tcW w:w="140" w:type="dxa"/>
            <w:vAlign w:val="bottom"/>
            <w:tcBorders>
              <w:bottom w:val="single" w:sz="8" w:color="auto"/>
            </w:tcBorders>
            <w:shd w:val="clear" w:color="auto" w:fill="CCEEFF"/>
          </w:tcPr>
          <w:p>
            <w:pPr>
              <w:spacing w:after="0"/>
              <w:rPr>
                <w:sz w:val="18"/>
                <w:szCs w:val="18"/>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181,757</w:t>
            </w:r>
          </w:p>
        </w:tc>
        <w:tc>
          <w:tcPr>
            <w:tcW w:w="10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157,874</w:t>
            </w:r>
          </w:p>
        </w:tc>
        <w:tc>
          <w:tcPr>
            <w:tcW w:w="0" w:type="dxa"/>
            <w:vAlign w:val="bottom"/>
          </w:tcPr>
          <w:p>
            <w:pPr>
              <w:spacing w:after="0"/>
              <w:rPr>
                <w:sz w:val="1"/>
                <w:szCs w:val="1"/>
                <w:color w:val="auto"/>
              </w:rPr>
            </w:pPr>
          </w:p>
        </w:tc>
      </w:tr>
      <w:tr>
        <w:trPr>
          <w:trHeight w:val="194"/>
        </w:trPr>
        <w:tc>
          <w:tcPr>
            <w:tcW w:w="810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Cash flows from investing activities</w:t>
            </w:r>
          </w:p>
        </w:tc>
        <w:tc>
          <w:tcPr>
            <w:tcW w:w="14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8"/>
        </w:trPr>
        <w:tc>
          <w:tcPr>
            <w:tcW w:w="810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Acquisition of property and equipment</w:t>
            </w:r>
          </w:p>
        </w:tc>
        <w:tc>
          <w:tcPr>
            <w:tcW w:w="14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(518)</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(206)</w:t>
            </w:r>
          </w:p>
        </w:tc>
        <w:tc>
          <w:tcPr>
            <w:tcW w:w="0" w:type="dxa"/>
            <w:vAlign w:val="bottom"/>
          </w:tcPr>
          <w:p>
            <w:pPr>
              <w:spacing w:after="0"/>
              <w:rPr>
                <w:sz w:val="1"/>
                <w:szCs w:val="1"/>
                <w:color w:val="auto"/>
              </w:rPr>
            </w:pPr>
          </w:p>
        </w:tc>
      </w:tr>
      <w:tr>
        <w:trPr>
          <w:trHeight w:val="213"/>
        </w:trPr>
        <w:tc>
          <w:tcPr>
            <w:tcW w:w="8100" w:type="dxa"/>
            <w:vAlign w:val="bottom"/>
            <w:gridSpan w:val="2"/>
          </w:tcPr>
          <w:p>
            <w:pPr>
              <w:ind w:left="360"/>
              <w:spacing w:after="0"/>
              <w:rPr>
                <w:sz w:val="20"/>
                <w:szCs w:val="20"/>
                <w:color w:val="auto"/>
              </w:rPr>
            </w:pPr>
            <w:r>
              <w:rPr>
                <w:rFonts w:ascii="Times New Roman" w:cs="Times New Roman" w:eastAsia="Times New Roman" w:hAnsi="Times New Roman"/>
                <w:sz w:val="16"/>
                <w:szCs w:val="16"/>
                <w:color w:val="auto"/>
              </w:rPr>
              <w:t>Leasehold improvements</w:t>
            </w:r>
          </w:p>
        </w:tc>
        <w:tc>
          <w:tcPr>
            <w:tcW w:w="14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w:t>
            </w:r>
          </w:p>
        </w:tc>
        <w:tc>
          <w:tcPr>
            <w:tcW w:w="0" w:type="dxa"/>
            <w:vAlign w:val="bottom"/>
          </w:tcPr>
          <w:p>
            <w:pPr>
              <w:spacing w:after="0"/>
              <w:rPr>
                <w:sz w:val="1"/>
                <w:szCs w:val="1"/>
                <w:color w:val="auto"/>
              </w:rPr>
            </w:pPr>
          </w:p>
        </w:tc>
      </w:tr>
      <w:tr>
        <w:trPr>
          <w:trHeight w:val="219"/>
        </w:trPr>
        <w:tc>
          <w:tcPr>
            <w:tcW w:w="810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Proceeds from sale of investment securities</w:t>
            </w:r>
          </w:p>
        </w:tc>
        <w:tc>
          <w:tcPr>
            <w:tcW w:w="14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59,430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2,697</w:t>
            </w:r>
          </w:p>
        </w:tc>
        <w:tc>
          <w:tcPr>
            <w:tcW w:w="0" w:type="dxa"/>
            <w:vAlign w:val="bottom"/>
          </w:tcPr>
          <w:p>
            <w:pPr>
              <w:spacing w:after="0"/>
              <w:rPr>
                <w:sz w:val="1"/>
                <w:szCs w:val="1"/>
                <w:color w:val="auto"/>
              </w:rPr>
            </w:pPr>
          </w:p>
        </w:tc>
      </w:tr>
      <w:tr>
        <w:trPr>
          <w:trHeight w:val="213"/>
        </w:trPr>
        <w:tc>
          <w:tcPr>
            <w:tcW w:w="8100" w:type="dxa"/>
            <w:vAlign w:val="bottom"/>
            <w:gridSpan w:val="2"/>
          </w:tcPr>
          <w:p>
            <w:pPr>
              <w:ind w:left="360"/>
              <w:spacing w:after="0"/>
              <w:rPr>
                <w:sz w:val="20"/>
                <w:szCs w:val="20"/>
                <w:color w:val="auto"/>
              </w:rPr>
            </w:pPr>
            <w:r>
              <w:rPr>
                <w:rFonts w:ascii="Times New Roman" w:cs="Times New Roman" w:eastAsia="Times New Roman" w:hAnsi="Times New Roman"/>
                <w:sz w:val="16"/>
                <w:szCs w:val="16"/>
                <w:color w:val="auto"/>
              </w:rPr>
              <w:t>Purchase of investment securities</w:t>
            </w:r>
          </w:p>
        </w:tc>
        <w:tc>
          <w:tcPr>
            <w:tcW w:w="14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(48,372)</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(40,754)</w:t>
            </w:r>
          </w:p>
        </w:tc>
        <w:tc>
          <w:tcPr>
            <w:tcW w:w="0" w:type="dxa"/>
            <w:vAlign w:val="bottom"/>
          </w:tcPr>
          <w:p>
            <w:pPr>
              <w:spacing w:after="0"/>
              <w:rPr>
                <w:sz w:val="1"/>
                <w:szCs w:val="1"/>
                <w:color w:val="auto"/>
              </w:rPr>
            </w:pPr>
          </w:p>
        </w:tc>
      </w:tr>
      <w:tr>
        <w:trPr>
          <w:trHeight w:val="219"/>
        </w:trPr>
        <w:tc>
          <w:tcPr>
            <w:tcW w:w="810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Cash paid for business acquisitions, net of cash acquired</w:t>
            </w:r>
          </w:p>
        </w:tc>
        <w:tc>
          <w:tcPr>
            <w:tcW w:w="14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(22,512)</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7"/>
        </w:trPr>
        <w:tc>
          <w:tcPr>
            <w:tcW w:w="1020" w:type="dxa"/>
            <w:vAlign w:val="bottom"/>
            <w:tcBorders>
              <w:bottom w:val="single" w:sz="8" w:color="CCEEFF"/>
            </w:tcBorders>
          </w:tcPr>
          <w:p>
            <w:pPr>
              <w:spacing w:after="0"/>
              <w:rPr>
                <w:sz w:val="17"/>
                <w:szCs w:val="17"/>
                <w:color w:val="auto"/>
              </w:rPr>
            </w:pPr>
          </w:p>
        </w:tc>
        <w:tc>
          <w:tcPr>
            <w:tcW w:w="7080" w:type="dxa"/>
            <w:vAlign w:val="bottom"/>
            <w:tcBorders>
              <w:bottom w:val="single" w:sz="8" w:color="CCEEFF"/>
            </w:tcBorders>
          </w:tcPr>
          <w:p>
            <w:pPr>
              <w:ind w:left="620"/>
              <w:spacing w:after="0"/>
              <w:rPr>
                <w:sz w:val="20"/>
                <w:szCs w:val="20"/>
                <w:color w:val="auto"/>
              </w:rPr>
            </w:pPr>
            <w:r>
              <w:rPr>
                <w:rFonts w:ascii="Times New Roman" w:cs="Times New Roman" w:eastAsia="Times New Roman" w:hAnsi="Times New Roman"/>
                <w:sz w:val="16"/>
                <w:szCs w:val="16"/>
                <w:color w:val="auto"/>
              </w:rPr>
              <w:t>Net cash used in investing activities</w:t>
            </w:r>
          </w:p>
        </w:tc>
        <w:tc>
          <w:tcPr>
            <w:tcW w:w="14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(11,997)</w:t>
            </w:r>
          </w:p>
        </w:tc>
        <w:tc>
          <w:tcPr>
            <w:tcW w:w="10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(38,276)</w:t>
            </w:r>
          </w:p>
        </w:tc>
        <w:tc>
          <w:tcPr>
            <w:tcW w:w="0" w:type="dxa"/>
            <w:vAlign w:val="bottom"/>
          </w:tcPr>
          <w:p>
            <w:pPr>
              <w:spacing w:after="0"/>
              <w:rPr>
                <w:sz w:val="1"/>
                <w:szCs w:val="1"/>
                <w:color w:val="auto"/>
              </w:rPr>
            </w:pPr>
          </w:p>
        </w:tc>
      </w:tr>
      <w:tr>
        <w:trPr>
          <w:trHeight w:val="199"/>
        </w:trPr>
        <w:tc>
          <w:tcPr>
            <w:tcW w:w="81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Cash flows from financing activities</w:t>
            </w:r>
          </w:p>
        </w:tc>
        <w:tc>
          <w:tcPr>
            <w:tcW w:w="14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8100" w:type="dxa"/>
            <w:vAlign w:val="bottom"/>
            <w:gridSpan w:val="2"/>
          </w:tcPr>
          <w:p>
            <w:pPr>
              <w:ind w:left="360"/>
              <w:spacing w:after="0"/>
              <w:rPr>
                <w:sz w:val="20"/>
                <w:szCs w:val="20"/>
                <w:color w:val="auto"/>
              </w:rPr>
            </w:pPr>
            <w:r>
              <w:rPr>
                <w:rFonts w:ascii="Times New Roman" w:cs="Times New Roman" w:eastAsia="Times New Roman" w:hAnsi="Times New Roman"/>
                <w:sz w:val="16"/>
                <w:szCs w:val="16"/>
                <w:color w:val="auto"/>
              </w:rPr>
              <w:t>Partnership distributions</w:t>
            </w:r>
          </w:p>
        </w:tc>
        <w:tc>
          <w:tcPr>
            <w:tcW w:w="14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(5,960)</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(6,378)</w:t>
            </w:r>
          </w:p>
        </w:tc>
        <w:tc>
          <w:tcPr>
            <w:tcW w:w="0" w:type="dxa"/>
            <w:vAlign w:val="bottom"/>
          </w:tcPr>
          <w:p>
            <w:pPr>
              <w:spacing w:after="0"/>
              <w:rPr>
                <w:sz w:val="1"/>
                <w:szCs w:val="1"/>
                <w:color w:val="auto"/>
              </w:rPr>
            </w:pPr>
          </w:p>
        </w:tc>
      </w:tr>
      <w:tr>
        <w:trPr>
          <w:trHeight w:val="219"/>
        </w:trPr>
        <w:tc>
          <w:tcPr>
            <w:tcW w:w="810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Dividends paid</w:t>
            </w:r>
          </w:p>
        </w:tc>
        <w:tc>
          <w:tcPr>
            <w:tcW w:w="14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(112,460)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(94,697)</w:t>
            </w:r>
          </w:p>
        </w:tc>
        <w:tc>
          <w:tcPr>
            <w:tcW w:w="0" w:type="dxa"/>
            <w:vAlign w:val="bottom"/>
          </w:tcPr>
          <w:p>
            <w:pPr>
              <w:spacing w:after="0"/>
              <w:rPr>
                <w:sz w:val="1"/>
                <w:szCs w:val="1"/>
                <w:color w:val="auto"/>
              </w:rPr>
            </w:pPr>
          </w:p>
        </w:tc>
      </w:tr>
      <w:tr>
        <w:trPr>
          <w:trHeight w:val="213"/>
        </w:trPr>
        <w:tc>
          <w:tcPr>
            <w:tcW w:w="8100" w:type="dxa"/>
            <w:vAlign w:val="bottom"/>
            <w:gridSpan w:val="2"/>
          </w:tcPr>
          <w:p>
            <w:pPr>
              <w:ind w:left="360"/>
              <w:spacing w:after="0"/>
              <w:rPr>
                <w:sz w:val="20"/>
                <w:szCs w:val="20"/>
                <w:color w:val="auto"/>
              </w:rPr>
            </w:pPr>
            <w:r>
              <w:rPr>
                <w:rFonts w:ascii="Times New Roman" w:cs="Times New Roman" w:eastAsia="Times New Roman" w:hAnsi="Times New Roman"/>
                <w:sz w:val="16"/>
                <w:szCs w:val="16"/>
                <w:color w:val="auto"/>
              </w:rPr>
              <w:t>Taxes paid related to employee net share settlement</w:t>
            </w:r>
          </w:p>
        </w:tc>
        <w:tc>
          <w:tcPr>
            <w:tcW w:w="14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(4,519)</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(8,545)</w:t>
            </w:r>
          </w:p>
        </w:tc>
        <w:tc>
          <w:tcPr>
            <w:tcW w:w="0" w:type="dxa"/>
            <w:vAlign w:val="bottom"/>
          </w:tcPr>
          <w:p>
            <w:pPr>
              <w:spacing w:after="0"/>
              <w:rPr>
                <w:sz w:val="1"/>
                <w:szCs w:val="1"/>
                <w:color w:val="auto"/>
              </w:rPr>
            </w:pPr>
          </w:p>
        </w:tc>
      </w:tr>
      <w:tr>
        <w:trPr>
          <w:trHeight w:val="219"/>
        </w:trPr>
        <w:tc>
          <w:tcPr>
            <w:tcW w:w="810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Capital contributions to consolidated investment products, net</w:t>
            </w:r>
          </w:p>
        </w:tc>
        <w:tc>
          <w:tcPr>
            <w:tcW w:w="14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27,845</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17,764</w:t>
            </w:r>
          </w:p>
        </w:tc>
        <w:tc>
          <w:tcPr>
            <w:tcW w:w="0" w:type="dxa"/>
            <w:vAlign w:val="bottom"/>
          </w:tcPr>
          <w:p>
            <w:pPr>
              <w:spacing w:after="0"/>
              <w:rPr>
                <w:sz w:val="1"/>
                <w:szCs w:val="1"/>
                <w:color w:val="auto"/>
              </w:rPr>
            </w:pPr>
          </w:p>
        </w:tc>
      </w:tr>
      <w:tr>
        <w:trPr>
          <w:trHeight w:val="207"/>
        </w:trPr>
        <w:tc>
          <w:tcPr>
            <w:tcW w:w="1020" w:type="dxa"/>
            <w:vAlign w:val="bottom"/>
            <w:tcBorders>
              <w:bottom w:val="single" w:sz="8" w:color="CCEEFF"/>
            </w:tcBorders>
          </w:tcPr>
          <w:p>
            <w:pPr>
              <w:spacing w:after="0"/>
              <w:rPr>
                <w:sz w:val="17"/>
                <w:szCs w:val="17"/>
                <w:color w:val="auto"/>
              </w:rPr>
            </w:pPr>
          </w:p>
        </w:tc>
        <w:tc>
          <w:tcPr>
            <w:tcW w:w="7080" w:type="dxa"/>
            <w:vAlign w:val="bottom"/>
            <w:tcBorders>
              <w:bottom w:val="single" w:sz="8" w:color="CCEEFF"/>
            </w:tcBorders>
          </w:tcPr>
          <w:p>
            <w:pPr>
              <w:ind w:left="620"/>
              <w:spacing w:after="0"/>
              <w:rPr>
                <w:sz w:val="20"/>
                <w:szCs w:val="20"/>
                <w:color w:val="auto"/>
              </w:rPr>
            </w:pPr>
            <w:r>
              <w:rPr>
                <w:rFonts w:ascii="Times New Roman" w:cs="Times New Roman" w:eastAsia="Times New Roman" w:hAnsi="Times New Roman"/>
                <w:sz w:val="16"/>
                <w:szCs w:val="16"/>
                <w:color w:val="auto"/>
              </w:rPr>
              <w:t>Net cash used in financing activities</w:t>
            </w:r>
          </w:p>
        </w:tc>
        <w:tc>
          <w:tcPr>
            <w:tcW w:w="14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(95,094)</w:t>
            </w:r>
          </w:p>
        </w:tc>
        <w:tc>
          <w:tcPr>
            <w:tcW w:w="10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(91,856)</w:t>
            </w:r>
          </w:p>
        </w:tc>
        <w:tc>
          <w:tcPr>
            <w:tcW w:w="0" w:type="dxa"/>
            <w:vAlign w:val="bottom"/>
          </w:tcPr>
          <w:p>
            <w:pPr>
              <w:spacing w:after="0"/>
              <w:rPr>
                <w:sz w:val="1"/>
                <w:szCs w:val="1"/>
                <w:color w:val="auto"/>
              </w:rPr>
            </w:pPr>
          </w:p>
        </w:tc>
      </w:tr>
      <w:tr>
        <w:trPr>
          <w:trHeight w:val="212"/>
        </w:trPr>
        <w:tc>
          <w:tcPr>
            <w:tcW w:w="81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increase in cash and cash equivalents</w:t>
            </w:r>
          </w:p>
        </w:tc>
        <w:tc>
          <w:tcPr>
            <w:tcW w:w="14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74,666</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27,742</w:t>
            </w:r>
          </w:p>
        </w:tc>
        <w:tc>
          <w:tcPr>
            <w:tcW w:w="0" w:type="dxa"/>
            <w:vAlign w:val="bottom"/>
          </w:tcPr>
          <w:p>
            <w:pPr>
              <w:spacing w:after="0"/>
              <w:rPr>
                <w:sz w:val="1"/>
                <w:szCs w:val="1"/>
                <w:color w:val="auto"/>
              </w:rPr>
            </w:pPr>
          </w:p>
        </w:tc>
      </w:tr>
      <w:tr>
        <w:trPr>
          <w:trHeight w:val="213"/>
        </w:trPr>
        <w:tc>
          <w:tcPr>
            <w:tcW w:w="81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Net cash impact of deconsolidation of CIPs</w:t>
            </w:r>
          </w:p>
        </w:tc>
        <w:tc>
          <w:tcPr>
            <w:tcW w:w="14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(29,727)</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(36,988)</w:t>
            </w:r>
          </w:p>
        </w:tc>
        <w:tc>
          <w:tcPr>
            <w:tcW w:w="0" w:type="dxa"/>
            <w:vAlign w:val="bottom"/>
          </w:tcPr>
          <w:p>
            <w:pPr>
              <w:spacing w:after="0"/>
              <w:rPr>
                <w:sz w:val="1"/>
                <w:szCs w:val="1"/>
                <w:color w:val="auto"/>
              </w:rPr>
            </w:pPr>
          </w:p>
        </w:tc>
      </w:tr>
      <w:tr>
        <w:trPr>
          <w:trHeight w:val="219"/>
        </w:trPr>
        <w:tc>
          <w:tcPr>
            <w:tcW w:w="81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Cash and cash equivalents</w:t>
            </w:r>
          </w:p>
        </w:tc>
        <w:tc>
          <w:tcPr>
            <w:tcW w:w="14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810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Beginning of period</w:t>
            </w:r>
          </w:p>
        </w:tc>
        <w:tc>
          <w:tcPr>
            <w:tcW w:w="14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255,506</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268,218</w:t>
            </w:r>
          </w:p>
        </w:tc>
        <w:tc>
          <w:tcPr>
            <w:tcW w:w="0" w:type="dxa"/>
            <w:vAlign w:val="bottom"/>
          </w:tcPr>
          <w:p>
            <w:pPr>
              <w:spacing w:after="0"/>
              <w:rPr>
                <w:sz w:val="1"/>
                <w:szCs w:val="1"/>
                <w:color w:val="auto"/>
              </w:rPr>
            </w:pPr>
          </w:p>
        </w:tc>
      </w:tr>
      <w:tr>
        <w:trPr>
          <w:trHeight w:val="236"/>
        </w:trPr>
        <w:tc>
          <w:tcPr>
            <w:tcW w:w="81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End of period</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300,445</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258,972</w:t>
            </w:r>
          </w:p>
        </w:tc>
        <w:tc>
          <w:tcPr>
            <w:tcW w:w="0" w:type="dxa"/>
            <w:vAlign w:val="bottom"/>
          </w:tcPr>
          <w:p>
            <w:pPr>
              <w:spacing w:after="0"/>
              <w:rPr>
                <w:sz w:val="1"/>
                <w:szCs w:val="1"/>
                <w:color w:val="auto"/>
              </w:rPr>
            </w:pPr>
          </w:p>
        </w:tc>
      </w:tr>
      <w:tr>
        <w:trPr>
          <w:trHeight w:val="20"/>
        </w:trPr>
        <w:tc>
          <w:tcPr>
            <w:tcW w:w="8100" w:type="dxa"/>
            <w:vAlign w:val="bottom"/>
            <w:tcBorders>
              <w:top w:val="single" w:sz="8" w:color="CCEEFF"/>
            </w:tcBorders>
            <w:gridSpan w:val="2"/>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6"/>
        </w:trPr>
        <w:tc>
          <w:tcPr>
            <w:tcW w:w="1020" w:type="dxa"/>
            <w:vAlign w:val="bottom"/>
          </w:tcPr>
          <w:p>
            <w:pPr>
              <w:spacing w:after="0"/>
              <w:rPr>
                <w:sz w:val="8"/>
                <w:szCs w:val="8"/>
                <w:color w:val="auto"/>
              </w:rPr>
            </w:pPr>
          </w:p>
        </w:tc>
        <w:tc>
          <w:tcPr>
            <w:tcW w:w="7080" w:type="dxa"/>
            <w:vAlign w:val="bottom"/>
          </w:tcPr>
          <w:p>
            <w:pPr>
              <w:spacing w:after="0"/>
              <w:rPr>
                <w:sz w:val="8"/>
                <w:szCs w:val="8"/>
                <w:color w:val="auto"/>
              </w:rPr>
            </w:pPr>
          </w:p>
        </w:tc>
        <w:tc>
          <w:tcPr>
            <w:tcW w:w="140" w:type="dxa"/>
            <w:vAlign w:val="bottom"/>
          </w:tcPr>
          <w:p>
            <w:pPr>
              <w:spacing w:after="0"/>
              <w:rPr>
                <w:sz w:val="8"/>
                <w:szCs w:val="8"/>
                <w:color w:val="auto"/>
              </w:rPr>
            </w:pPr>
          </w:p>
        </w:tc>
        <w:tc>
          <w:tcPr>
            <w:tcW w:w="1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360" w:type="dxa"/>
            <w:vAlign w:val="bottom"/>
          </w:tcPr>
          <w:p>
            <w:pPr>
              <w:spacing w:after="0"/>
              <w:rPr>
                <w:sz w:val="8"/>
                <w:szCs w:val="8"/>
                <w:color w:val="auto"/>
              </w:rPr>
            </w:pPr>
          </w:p>
        </w:tc>
        <w:tc>
          <w:tcPr>
            <w:tcW w:w="11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81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Cash and cash equivalents as of the end of the period</w:t>
            </w:r>
          </w:p>
        </w:tc>
        <w:tc>
          <w:tcPr>
            <w:tcW w:w="14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8100" w:type="dxa"/>
            <w:vAlign w:val="bottom"/>
            <w:gridSpan w:val="2"/>
          </w:tcPr>
          <w:p>
            <w:pPr>
              <w:ind w:left="36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271,058</w:t>
            </w:r>
          </w:p>
        </w:tc>
        <w:tc>
          <w:tcPr>
            <w:tcW w:w="100" w:type="dxa"/>
            <w:vAlign w:val="bottom"/>
          </w:tcPr>
          <w:p>
            <w:pPr>
              <w:spacing w:after="0"/>
              <w:rPr>
                <w:sz w:val="18"/>
                <w:szCs w:val="18"/>
                <w:color w:val="auto"/>
              </w:rPr>
            </w:pPr>
          </w:p>
        </w:tc>
        <w:tc>
          <w:tcPr>
            <w:tcW w:w="36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212,890</w:t>
            </w:r>
          </w:p>
        </w:tc>
        <w:tc>
          <w:tcPr>
            <w:tcW w:w="0" w:type="dxa"/>
            <w:vAlign w:val="bottom"/>
          </w:tcPr>
          <w:p>
            <w:pPr>
              <w:spacing w:after="0"/>
              <w:rPr>
                <w:sz w:val="1"/>
                <w:szCs w:val="1"/>
                <w:color w:val="auto"/>
              </w:rPr>
            </w:pPr>
          </w:p>
        </w:tc>
      </w:tr>
      <w:tr>
        <w:trPr>
          <w:trHeight w:val="216"/>
        </w:trPr>
        <w:tc>
          <w:tcPr>
            <w:tcW w:w="810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Cash and cash equivalents of consolidated investment products</w:t>
            </w:r>
          </w:p>
        </w:tc>
        <w:tc>
          <w:tcPr>
            <w:tcW w:w="140" w:type="dxa"/>
            <w:vAlign w:val="bottom"/>
            <w:tcBorders>
              <w:bottom w:val="single" w:sz="8" w:color="auto"/>
            </w:tcBorders>
            <w:shd w:val="clear" w:color="auto" w:fill="CCEEFF"/>
          </w:tcPr>
          <w:p>
            <w:pPr>
              <w:spacing w:after="0"/>
              <w:rPr>
                <w:sz w:val="18"/>
                <w:szCs w:val="18"/>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29,387</w:t>
            </w:r>
          </w:p>
        </w:tc>
        <w:tc>
          <w:tcPr>
            <w:tcW w:w="10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46,082</w:t>
            </w:r>
          </w:p>
        </w:tc>
        <w:tc>
          <w:tcPr>
            <w:tcW w:w="0" w:type="dxa"/>
            <w:vAlign w:val="bottom"/>
          </w:tcPr>
          <w:p>
            <w:pPr>
              <w:spacing w:after="0"/>
              <w:rPr>
                <w:sz w:val="1"/>
                <w:szCs w:val="1"/>
                <w:color w:val="auto"/>
              </w:rPr>
            </w:pPr>
          </w:p>
        </w:tc>
      </w:tr>
      <w:tr>
        <w:trPr>
          <w:trHeight w:val="212"/>
        </w:trPr>
        <w:tc>
          <w:tcPr>
            <w:tcW w:w="810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Cash and cash equivalents</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300,445</w:t>
            </w:r>
          </w:p>
        </w:tc>
        <w:tc>
          <w:tcPr>
            <w:tcW w:w="100" w:type="dxa"/>
            <w:vAlign w:val="bottom"/>
          </w:tcPr>
          <w:p>
            <w:pPr>
              <w:spacing w:after="0"/>
              <w:rPr>
                <w:sz w:val="18"/>
                <w:szCs w:val="18"/>
                <w:color w:val="auto"/>
              </w:rPr>
            </w:pPr>
          </w:p>
        </w:tc>
        <w:tc>
          <w:tcPr>
            <w:tcW w:w="360" w:type="dxa"/>
            <w:vAlign w:val="bottom"/>
            <w:tcBorders>
              <w:bottom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258,972</w:t>
            </w:r>
          </w:p>
        </w:tc>
        <w:tc>
          <w:tcPr>
            <w:tcW w:w="0" w:type="dxa"/>
            <w:vAlign w:val="bottom"/>
          </w:tcPr>
          <w:p>
            <w:pPr>
              <w:spacing w:after="0"/>
              <w:rPr>
                <w:sz w:val="1"/>
                <w:szCs w:val="1"/>
                <w:color w:val="auto"/>
              </w:rPr>
            </w:pPr>
          </w:p>
        </w:tc>
      </w:tr>
      <w:tr>
        <w:trPr>
          <w:trHeight w:val="20"/>
        </w:trPr>
        <w:tc>
          <w:tcPr>
            <w:tcW w:w="1020" w:type="dxa"/>
            <w:vAlign w:val="bottom"/>
            <w:tcBorders>
              <w:bottom w:val="single" w:sz="8" w:color="CCEEFF"/>
            </w:tcBorders>
          </w:tcPr>
          <w:p>
            <w:pPr>
              <w:spacing w:after="0" w:line="20" w:lineRule="exact"/>
              <w:rPr>
                <w:sz w:val="1"/>
                <w:szCs w:val="1"/>
                <w:color w:val="auto"/>
              </w:rPr>
            </w:pPr>
          </w:p>
        </w:tc>
        <w:tc>
          <w:tcPr>
            <w:tcW w:w="70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6"/>
        </w:trPr>
        <w:tc>
          <w:tcPr>
            <w:tcW w:w="1020" w:type="dxa"/>
            <w:vAlign w:val="bottom"/>
            <w:shd w:val="clear" w:color="auto" w:fill="CCEEFF"/>
          </w:tcPr>
          <w:p>
            <w:pPr>
              <w:spacing w:after="0"/>
              <w:rPr>
                <w:sz w:val="10"/>
                <w:szCs w:val="10"/>
                <w:color w:val="auto"/>
              </w:rPr>
            </w:pPr>
          </w:p>
        </w:tc>
        <w:tc>
          <w:tcPr>
            <w:tcW w:w="70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3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11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214"/>
        </w:trPr>
        <w:tc>
          <w:tcPr>
            <w:tcW w:w="810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Supplementary information</w:t>
            </w:r>
          </w:p>
        </w:tc>
        <w:tc>
          <w:tcPr>
            <w:tcW w:w="1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81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Noncash activity:</w:t>
            </w:r>
          </w:p>
        </w:tc>
        <w:tc>
          <w:tcPr>
            <w:tcW w:w="14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8100" w:type="dxa"/>
            <w:vAlign w:val="bottom"/>
            <w:gridSpan w:val="2"/>
          </w:tcPr>
          <w:p>
            <w:pPr>
              <w:ind w:left="360"/>
              <w:spacing w:after="0"/>
              <w:rPr>
                <w:sz w:val="20"/>
                <w:szCs w:val="20"/>
                <w:color w:val="auto"/>
              </w:rPr>
            </w:pPr>
            <w:r>
              <w:rPr>
                <w:rFonts w:ascii="Times New Roman" w:cs="Times New Roman" w:eastAsia="Times New Roman" w:hAnsi="Times New Roman"/>
                <w:sz w:val="16"/>
                <w:szCs w:val="16"/>
                <w:color w:val="auto"/>
              </w:rPr>
              <w:t>Establishment of deferred tax assets</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2,324</w:t>
            </w:r>
          </w:p>
        </w:tc>
        <w:tc>
          <w:tcPr>
            <w:tcW w:w="100" w:type="dxa"/>
            <w:vAlign w:val="bottom"/>
          </w:tcPr>
          <w:p>
            <w:pPr>
              <w:spacing w:after="0"/>
              <w:rPr>
                <w:sz w:val="18"/>
                <w:szCs w:val="18"/>
                <w:color w:val="auto"/>
              </w:rPr>
            </w:pPr>
          </w:p>
        </w:tc>
        <w:tc>
          <w:tcPr>
            <w:tcW w:w="36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715</w:t>
            </w:r>
          </w:p>
        </w:tc>
        <w:tc>
          <w:tcPr>
            <w:tcW w:w="0" w:type="dxa"/>
            <w:vAlign w:val="bottom"/>
          </w:tcPr>
          <w:p>
            <w:pPr>
              <w:spacing w:after="0"/>
              <w:rPr>
                <w:sz w:val="1"/>
                <w:szCs w:val="1"/>
                <w:color w:val="auto"/>
              </w:rPr>
            </w:pPr>
          </w:p>
        </w:tc>
      </w:tr>
      <w:tr>
        <w:trPr>
          <w:trHeight w:val="219"/>
        </w:trPr>
        <w:tc>
          <w:tcPr>
            <w:tcW w:w="810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Establishment of amounts payable under tax receivable agreements</w:t>
            </w:r>
          </w:p>
        </w:tc>
        <w:tc>
          <w:tcPr>
            <w:tcW w:w="14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1,860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526</w:t>
            </w:r>
          </w:p>
        </w:tc>
        <w:tc>
          <w:tcPr>
            <w:tcW w:w="0" w:type="dxa"/>
            <w:vAlign w:val="bottom"/>
          </w:tcPr>
          <w:p>
            <w:pPr>
              <w:spacing w:after="0"/>
              <w:rPr>
                <w:sz w:val="1"/>
                <w:szCs w:val="1"/>
                <w:color w:val="auto"/>
              </w:rPr>
            </w:pPr>
          </w:p>
        </w:tc>
      </w:tr>
      <w:tr>
        <w:trPr>
          <w:trHeight w:val="213"/>
        </w:trPr>
        <w:tc>
          <w:tcPr>
            <w:tcW w:w="8100" w:type="dxa"/>
            <w:vAlign w:val="bottom"/>
            <w:gridSpan w:val="2"/>
          </w:tcPr>
          <w:p>
            <w:pPr>
              <w:ind w:left="360"/>
              <w:spacing w:after="0"/>
              <w:rPr>
                <w:sz w:val="20"/>
                <w:szCs w:val="20"/>
                <w:color w:val="auto"/>
              </w:rPr>
            </w:pPr>
            <w:r>
              <w:rPr>
                <w:rFonts w:ascii="Times New Roman" w:cs="Times New Roman" w:eastAsia="Times New Roman" w:hAnsi="Times New Roman"/>
                <w:sz w:val="16"/>
                <w:szCs w:val="16"/>
                <w:color w:val="auto"/>
              </w:rPr>
              <w:t>Increase in investment securities due to deconsolidation of CIPs</w:t>
            </w:r>
          </w:p>
        </w:tc>
        <w:tc>
          <w:tcPr>
            <w:tcW w:w="14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55,257</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29,757</w:t>
            </w:r>
          </w:p>
        </w:tc>
        <w:tc>
          <w:tcPr>
            <w:tcW w:w="0" w:type="dxa"/>
            <w:vAlign w:val="bottom"/>
          </w:tcPr>
          <w:p>
            <w:pPr>
              <w:spacing w:after="0"/>
              <w:rPr>
                <w:sz w:val="1"/>
                <w:szCs w:val="1"/>
                <w:color w:val="auto"/>
              </w:rPr>
            </w:pPr>
          </w:p>
        </w:tc>
      </w:tr>
      <w:tr>
        <w:trPr>
          <w:trHeight w:val="219"/>
        </w:trPr>
        <w:tc>
          <w:tcPr>
            <w:tcW w:w="810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Operating lease assets obtained in exchange for operating lease liabilities</w:t>
            </w:r>
          </w:p>
        </w:tc>
        <w:tc>
          <w:tcPr>
            <w:tcW w:w="14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563</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2,155</w:t>
            </w:r>
          </w:p>
        </w:tc>
        <w:tc>
          <w:tcPr>
            <w:tcW w:w="0" w:type="dxa"/>
            <w:vAlign w:val="bottom"/>
          </w:tcPr>
          <w:p>
            <w:pPr>
              <w:spacing w:after="0"/>
              <w:rPr>
                <w:sz w:val="1"/>
                <w:szCs w:val="1"/>
                <w:color w:val="auto"/>
              </w:rPr>
            </w:pPr>
          </w:p>
        </w:tc>
      </w:tr>
      <w:tr>
        <w:trPr>
          <w:trHeight w:val="213"/>
        </w:trPr>
        <w:tc>
          <w:tcPr>
            <w:tcW w:w="8100" w:type="dxa"/>
            <w:vAlign w:val="bottom"/>
            <w:gridSpan w:val="2"/>
          </w:tcPr>
          <w:p>
            <w:pPr>
              <w:ind w:left="360"/>
              <w:spacing w:after="0"/>
              <w:rPr>
                <w:sz w:val="20"/>
                <w:szCs w:val="20"/>
                <w:color w:val="auto"/>
              </w:rPr>
            </w:pPr>
            <w:r>
              <w:rPr>
                <w:rFonts w:ascii="Times New Roman" w:cs="Times New Roman" w:eastAsia="Times New Roman" w:hAnsi="Times New Roman"/>
                <w:sz w:val="16"/>
                <w:szCs w:val="16"/>
                <w:color w:val="auto"/>
              </w:rPr>
              <w:t>Settlement of franchise capital liability via transfer of investment securities</w:t>
            </w:r>
          </w:p>
        </w:tc>
        <w:tc>
          <w:tcPr>
            <w:tcW w:w="14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2,364</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1,981</w:t>
            </w:r>
          </w:p>
        </w:tc>
        <w:tc>
          <w:tcPr>
            <w:tcW w:w="0" w:type="dxa"/>
            <w:vAlign w:val="bottom"/>
          </w:tcPr>
          <w:p>
            <w:pPr>
              <w:spacing w:after="0"/>
              <w:rPr>
                <w:sz w:val="1"/>
                <w:szCs w:val="1"/>
                <w:color w:val="auto"/>
              </w:rPr>
            </w:pPr>
          </w:p>
        </w:tc>
      </w:tr>
      <w:tr>
        <w:trPr>
          <w:trHeight w:val="219"/>
        </w:trPr>
        <w:tc>
          <w:tcPr>
            <w:tcW w:w="810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Increase in CIP net assets due to consolidation</w:t>
            </w:r>
          </w:p>
        </w:tc>
        <w:tc>
          <w:tcPr>
            <w:tcW w:w="14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8,347</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0"/>
        </w:trPr>
        <w:tc>
          <w:tcPr>
            <w:tcW w:w="1020" w:type="dxa"/>
            <w:vAlign w:val="bottom"/>
          </w:tcPr>
          <w:p>
            <w:pPr>
              <w:spacing w:after="0"/>
              <w:rPr>
                <w:sz w:val="18"/>
                <w:szCs w:val="18"/>
                <w:color w:val="auto"/>
              </w:rPr>
            </w:pPr>
          </w:p>
        </w:tc>
        <w:tc>
          <w:tcPr>
            <w:tcW w:w="8700" w:type="dxa"/>
            <w:vAlign w:val="bottom"/>
            <w:gridSpan w:val="4"/>
          </w:tcPr>
          <w:p>
            <w:pPr>
              <w:jc w:val="center"/>
              <w:ind w:left="419"/>
              <w:spacing w:after="0"/>
              <w:rPr>
                <w:sz w:val="20"/>
                <w:szCs w:val="20"/>
                <w:color w:val="auto"/>
              </w:rPr>
            </w:pPr>
            <w:r>
              <w:rPr>
                <w:rFonts w:ascii="Times New Roman" w:cs="Times New Roman" w:eastAsia="Times New Roman" w:hAnsi="Times New Roman"/>
                <w:sz w:val="16"/>
                <w:szCs w:val="16"/>
                <w:color w:val="auto"/>
              </w:rPr>
              <w:t>The accompanying notes are an integral part of the consolidated financial statements.</w:t>
            </w:r>
          </w:p>
        </w:tc>
        <w:tc>
          <w:tcPr>
            <w:tcW w:w="3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ind w:left="3720"/>
        <w:spacing w:after="0"/>
        <w:rPr>
          <w:sz w:val="20"/>
          <w:szCs w:val="20"/>
          <w:color w:val="auto"/>
        </w:rPr>
      </w:pPr>
      <w:r>
        <w:rPr>
          <w:rFonts w:ascii="Times New Roman" w:cs="Times New Roman" w:eastAsia="Times New Roman" w:hAnsi="Times New Roman"/>
          <w:sz w:val="16"/>
          <w:szCs w:val="16"/>
          <w:b w:val="1"/>
          <w:bCs w:val="1"/>
          <w:color w:val="auto"/>
        </w:rPr>
        <w:t>ARTISAN PARTNERS ASSET MANAGEMENT INC.</w:t>
      </w:r>
    </w:p>
    <w:p>
      <w:pPr>
        <w:spacing w:after="0" w:line="25" w:lineRule="exact"/>
        <w:rPr>
          <w:sz w:val="20"/>
          <w:szCs w:val="20"/>
          <w:color w:val="auto"/>
        </w:rPr>
      </w:pPr>
    </w:p>
    <w:p>
      <w:pPr>
        <w:ind w:left="3740"/>
        <w:spacing w:after="0"/>
        <w:rPr>
          <w:sz w:val="20"/>
          <w:szCs w:val="20"/>
          <w:color w:val="auto"/>
        </w:rPr>
      </w:pPr>
      <w:r>
        <w:rPr>
          <w:rFonts w:ascii="Times New Roman" w:cs="Times New Roman" w:eastAsia="Times New Roman" w:hAnsi="Times New Roman"/>
          <w:sz w:val="16"/>
          <w:szCs w:val="16"/>
          <w:b w:val="1"/>
          <w:bCs w:val="1"/>
          <w:color w:val="auto"/>
        </w:rPr>
        <w:t>Notes to Unaudited Consolidated Financial Statements</w:t>
      </w:r>
    </w:p>
    <w:p>
      <w:pPr>
        <w:spacing w:after="0" w:line="8" w:lineRule="exact"/>
        <w:rPr>
          <w:sz w:val="20"/>
          <w:szCs w:val="20"/>
          <w:color w:val="auto"/>
        </w:rPr>
      </w:pPr>
    </w:p>
    <w:p>
      <w:pPr>
        <w:ind w:left="2380"/>
        <w:spacing w:after="0"/>
        <w:rPr>
          <w:sz w:val="20"/>
          <w:szCs w:val="20"/>
          <w:color w:val="auto"/>
        </w:rPr>
      </w:pPr>
      <w:r>
        <w:rPr>
          <w:rFonts w:ascii="Times New Roman" w:cs="Times New Roman" w:eastAsia="Times New Roman" w:hAnsi="Times New Roman"/>
          <w:sz w:val="16"/>
          <w:szCs w:val="16"/>
          <w:b w:val="1"/>
          <w:bCs w:val="1"/>
          <w:color w:val="auto"/>
        </w:rPr>
        <w:t>(U.S. currencies in thousands, except share and per share amounts and as otherwise indicated)</w:t>
      </w:r>
    </w:p>
    <w:p>
      <w:pPr>
        <w:spacing w:after="0" w:line="10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Note 1. Nature of Business and Organization</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Nature of Business</w:t>
      </w:r>
    </w:p>
    <w:p>
      <w:pPr>
        <w:spacing w:after="0" w:line="115" w:lineRule="exact"/>
        <w:rPr>
          <w:sz w:val="20"/>
          <w:szCs w:val="20"/>
          <w:color w:val="auto"/>
        </w:rPr>
      </w:pPr>
    </w:p>
    <w:p>
      <w:pPr>
        <w:ind w:right="160"/>
        <w:spacing w:after="0" w:line="272" w:lineRule="auto"/>
        <w:rPr>
          <w:sz w:val="20"/>
          <w:szCs w:val="20"/>
          <w:color w:val="auto"/>
        </w:rPr>
      </w:pPr>
      <w:r>
        <w:rPr>
          <w:rFonts w:ascii="Times New Roman" w:cs="Times New Roman" w:eastAsia="Times New Roman" w:hAnsi="Times New Roman"/>
          <w:sz w:val="16"/>
          <w:szCs w:val="16"/>
          <w:color w:val="auto"/>
        </w:rPr>
        <w:t>Artisan Partners Asset Management Inc. (“APAM”), through its subsidiaries, is a global multi-asset investment platform focused on providing high value-added, active investment strategies in growing asset classes to sophisticated clients around the world. APAM and its subsidiaries are hereafter referred to collectively as “Artisan” or the “Company.”</w:t>
      </w:r>
    </w:p>
    <w:p>
      <w:pPr>
        <w:spacing w:after="0" w:line="63" w:lineRule="exact"/>
        <w:rPr>
          <w:sz w:val="20"/>
          <w:szCs w:val="20"/>
          <w:color w:val="auto"/>
        </w:rPr>
      </w:pPr>
    </w:p>
    <w:p>
      <w:pPr>
        <w:ind w:right="200"/>
        <w:spacing w:after="0" w:line="272" w:lineRule="auto"/>
        <w:rPr>
          <w:sz w:val="20"/>
          <w:szCs w:val="20"/>
          <w:color w:val="auto"/>
        </w:rPr>
      </w:pPr>
      <w:r>
        <w:rPr>
          <w:rFonts w:ascii="Times New Roman" w:cs="Times New Roman" w:eastAsia="Times New Roman" w:hAnsi="Times New Roman"/>
          <w:sz w:val="16"/>
          <w:szCs w:val="16"/>
          <w:color w:val="auto"/>
        </w:rPr>
        <w:t>Artisan’s autonomous investment teams manage a broad range of U.S., non-U.S. and global investment strategies that are diversified by asset class, market cap and investment style. Strategies are offered through multiple investment vehicles to accommodate a broad range of client mandates. Artisan offers its investment management services primarily to institutions and through intermediaries that operate with institutional-like decision-making processes and have long-term investment horizons.</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Organization</w:t>
      </w:r>
    </w:p>
    <w:p>
      <w:pPr>
        <w:spacing w:after="0" w:line="129" w:lineRule="exact"/>
        <w:rPr>
          <w:sz w:val="20"/>
          <w:szCs w:val="20"/>
          <w:color w:val="auto"/>
        </w:rPr>
      </w:pPr>
    </w:p>
    <w:p>
      <w:pPr>
        <w:ind w:right="180"/>
        <w:spacing w:after="0" w:line="263" w:lineRule="auto"/>
        <w:rPr>
          <w:sz w:val="20"/>
          <w:szCs w:val="20"/>
          <w:color w:val="auto"/>
        </w:rPr>
      </w:pPr>
      <w:r>
        <w:rPr>
          <w:rFonts w:ascii="Times New Roman" w:cs="Times New Roman" w:eastAsia="Times New Roman" w:hAnsi="Times New Roman"/>
          <w:sz w:val="16"/>
          <w:szCs w:val="16"/>
          <w:color w:val="auto"/>
        </w:rPr>
        <w:t>On March 12, 2013, APAM completed its initial public offering (the “IPO”). APAM was formed for the purpose of becoming the general partner of Artisan Partners Holdings LP (“Artisan Partners Holdings” or “Holdings”) in connection with the IPO. Holdings is a holding company for the investment management business conducted under the name “Artisan Partners.” The reorganization (“IPO Reorganization”) established the necessary corporate structure to complete the IPO while at the same time preserving the ability of the firm to conduct operations through Holdings and its subsidiaries.</w:t>
      </w:r>
    </w:p>
    <w:p>
      <w:pPr>
        <w:spacing w:after="0" w:line="71"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6"/>
          <w:szCs w:val="16"/>
          <w:color w:val="auto"/>
        </w:rPr>
        <w:t>As its sole general partner, APAM controls the business and affairs of Holdings. As a result, APAM consolidates Holdings’ financial statements and records a noncontrolling interest for the equity interests in Holdings held by the limited partners of Holdings. At March 31, 2026, APAM held approximately 88% of the equity ownership interest in Holdings.</w:t>
      </w:r>
    </w:p>
    <w:p>
      <w:pPr>
        <w:spacing w:after="0" w:line="63"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6"/>
          <w:szCs w:val="16"/>
          <w:color w:val="auto"/>
        </w:rPr>
        <w:t>Holdings, together with its wholly owned subsidiary, Artisan Investments GP LLC, controls a 100% interest in Artisan Partners Limited Partnership (“APLP”), a multi-product investment management firm that is the principal operating subsidiary of Artisan Partners Holdings. APLP is registered as an investment adviser with the U.S. Securities and Exchange Commission under the Investment Advisers Act of 1940 (the “Advisers Act”). APLP provides investment advisory services to traditional separate accounts and pooled investment vehicles, including Artisan Partners Funds, Inc. (“Artisan Funds”), Artisan Partners Global Funds plc (“Artisan Global Funds”) and Artisan sponsored private funds (“Artisan Private Funds”). Artisan Funds are a series of open-end mutual funds registered under the Investment Company Act of 1940, as amended. Artisan Global Funds is a family of Ireland-domiciled UCITS funds. Artisan Private Funds consist of a number of Artisan-sponsored unregistered pooled investment vehicles. Holdings also controls a 100% interest in Grandview Property Partners, LLC (“Grandview”), a real estate private equity firm that is registered as an investment adviser with the SEC under the Advisers Act and that manages a number of closed-end private real estate funds (“Grandview Funds”).</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Note 2. Summary of Significant Accounting Policies</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Basis of presentation</w:t>
      </w:r>
    </w:p>
    <w:p>
      <w:pPr>
        <w:spacing w:after="0" w:line="115" w:lineRule="exact"/>
        <w:rPr>
          <w:sz w:val="20"/>
          <w:szCs w:val="20"/>
          <w:color w:val="auto"/>
        </w:rPr>
      </w:pPr>
    </w:p>
    <w:p>
      <w:pPr>
        <w:ind w:right="120"/>
        <w:spacing w:after="0" w:line="298" w:lineRule="auto"/>
        <w:rPr>
          <w:sz w:val="20"/>
          <w:szCs w:val="20"/>
          <w:color w:val="auto"/>
        </w:rPr>
      </w:pPr>
      <w:r>
        <w:rPr>
          <w:rFonts w:ascii="Times New Roman" w:cs="Times New Roman" w:eastAsia="Times New Roman" w:hAnsi="Times New Roman"/>
          <w:sz w:val="16"/>
          <w:szCs w:val="16"/>
          <w:color w:val="auto"/>
        </w:rPr>
        <w:t>The accompanying financial statements are unaudited. In the opinion of management, all adjustments, consisting only of normal recurring adjustments, necessary for a fair statement of such consolidated financial statements have been included. Such interim results are not necessarily indicative of full year results.</w:t>
      </w:r>
    </w:p>
    <w:p>
      <w:pPr>
        <w:spacing w:after="0" w:line="43" w:lineRule="exact"/>
        <w:rPr>
          <w:sz w:val="20"/>
          <w:szCs w:val="20"/>
          <w:color w:val="auto"/>
        </w:rPr>
      </w:pPr>
    </w:p>
    <w:p>
      <w:pPr>
        <w:ind w:right="160"/>
        <w:spacing w:after="0" w:line="298" w:lineRule="auto"/>
        <w:rPr>
          <w:sz w:val="20"/>
          <w:szCs w:val="20"/>
          <w:color w:val="auto"/>
        </w:rPr>
      </w:pPr>
      <w:r>
        <w:rPr>
          <w:rFonts w:ascii="Times New Roman" w:cs="Times New Roman" w:eastAsia="Times New Roman" w:hAnsi="Times New Roman"/>
          <w:sz w:val="16"/>
          <w:szCs w:val="16"/>
          <w:color w:val="auto"/>
        </w:rPr>
        <w:t>The consolidated financial statements have been prepared in accordance with U.S. generally accepted accounting principles (“U.S. GAAP”) for interim financial reporting and accordingly they do not include all of the information and footnotes required in the annual consolidated financial statements and accompanying footnotes.</w:t>
      </w:r>
    </w:p>
    <w:p>
      <w:pPr>
        <w:spacing w:after="0" w:line="43" w:lineRule="exact"/>
        <w:rPr>
          <w:sz w:val="20"/>
          <w:szCs w:val="20"/>
          <w:color w:val="auto"/>
        </w:rPr>
      </w:pPr>
    </w:p>
    <w:p>
      <w:pPr>
        <w:ind w:right="80"/>
        <w:spacing w:after="0" w:line="272" w:lineRule="auto"/>
        <w:rPr>
          <w:sz w:val="20"/>
          <w:szCs w:val="20"/>
          <w:color w:val="auto"/>
        </w:rPr>
      </w:pPr>
      <w:r>
        <w:rPr>
          <w:rFonts w:ascii="Times New Roman" w:cs="Times New Roman" w:eastAsia="Times New Roman" w:hAnsi="Times New Roman"/>
          <w:sz w:val="16"/>
          <w:szCs w:val="16"/>
          <w:color w:val="auto"/>
        </w:rPr>
        <w:t>The year-end condensed balance sheet data was derived from audited financial statements, but does not include all disclosures required by U.S. GAAP. As a result, the interim consolidated financial statements should be read in conjunction with the audited consolidated financial statements included in APAM’s latest annual report on Form 10-K.</w:t>
      </w:r>
    </w:p>
    <w:p>
      <w:pPr>
        <w:spacing w:after="0" w:line="63" w:lineRule="exact"/>
        <w:rPr>
          <w:sz w:val="20"/>
          <w:szCs w:val="20"/>
          <w:color w:val="auto"/>
        </w:rPr>
      </w:pPr>
    </w:p>
    <w:p>
      <w:pPr>
        <w:jc w:val="both"/>
        <w:ind w:right="100"/>
        <w:spacing w:after="0" w:line="272" w:lineRule="auto"/>
        <w:rPr>
          <w:sz w:val="20"/>
          <w:szCs w:val="20"/>
          <w:color w:val="auto"/>
        </w:rPr>
      </w:pPr>
      <w:r>
        <w:rPr>
          <w:rFonts w:ascii="Times New Roman" w:cs="Times New Roman" w:eastAsia="Times New Roman" w:hAnsi="Times New Roman"/>
          <w:sz w:val="16"/>
          <w:szCs w:val="16"/>
          <w:color w:val="auto"/>
        </w:rPr>
        <w:t>The accompanying financial statements were prepared in accordance with U.S. GAAP and related rules and regulations of the SEC. The preparation of financial statements in conformity with U.S. GAAP requires management to make estimates or assumptions that affect the reported amounts and disclosures in the financial statements. Actual results could differ from these estimates or assumptions.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Principles of consolidation</w:t>
      </w:r>
    </w:p>
    <w:p>
      <w:pPr>
        <w:spacing w:after="0" w:line="115" w:lineRule="exact"/>
        <w:rPr>
          <w:sz w:val="20"/>
          <w:szCs w:val="20"/>
          <w:color w:val="auto"/>
        </w:rPr>
      </w:pPr>
    </w:p>
    <w:p>
      <w:pPr>
        <w:spacing w:after="0" w:line="263" w:lineRule="auto"/>
        <w:rPr>
          <w:sz w:val="20"/>
          <w:szCs w:val="20"/>
          <w:color w:val="auto"/>
        </w:rPr>
      </w:pPr>
      <w:r>
        <w:rPr>
          <w:rFonts w:ascii="Times New Roman" w:cs="Times New Roman" w:eastAsia="Times New Roman" w:hAnsi="Times New Roman"/>
          <w:sz w:val="16"/>
          <w:szCs w:val="16"/>
          <w:color w:val="auto"/>
        </w:rPr>
        <w:t>Artisan’s policy is to consolidate all subsidiaries or other entities in which it has a controlling financial interest. The consolidation guidance requires an analysis to determine if an entity should be evaluated for consolidation using the voting interest entity (“VOE”) model or the variable interest entity (“VIE”) model. Under the VOE model, controlling financial interest is generally defined as a majority ownership of voting interests. Under the VIE model, controlling financial interest is defined as (i) the power to direct activities that most significantly impact the economic performance of the entity and (ii) the right to receive potentially significant benefits or the obligation to absorb potentially significant losses.</w:t>
      </w:r>
    </w:p>
    <w:p>
      <w:pPr>
        <w:spacing w:after="0" w:line="72" w:lineRule="exact"/>
        <w:rPr>
          <w:sz w:val="20"/>
          <w:szCs w:val="20"/>
          <w:color w:val="auto"/>
        </w:rPr>
      </w:pPr>
    </w:p>
    <w:p>
      <w:pPr>
        <w:ind w:right="20"/>
        <w:spacing w:after="0" w:line="272" w:lineRule="auto"/>
        <w:rPr>
          <w:sz w:val="20"/>
          <w:szCs w:val="20"/>
          <w:color w:val="auto"/>
        </w:rPr>
      </w:pPr>
      <w:r>
        <w:rPr>
          <w:rFonts w:ascii="Times New Roman" w:cs="Times New Roman" w:eastAsia="Times New Roman" w:hAnsi="Times New Roman"/>
          <w:sz w:val="16"/>
          <w:szCs w:val="16"/>
          <w:color w:val="auto"/>
        </w:rPr>
        <w:t>Artisan generally consolidates VIEs in which it meets the power criteria and holds an equity ownership interest of greater than 10%. The consolidated financial statements include the accounts of APAM and all subsidiaries or other entities in which APAM has a direct or indirect controlling financial interest. All material intercompany balances have been eliminated in consolidation.</w:t>
      </w:r>
    </w:p>
    <w:p>
      <w:pPr>
        <w:spacing w:after="0" w:line="76"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6"/>
          <w:szCs w:val="16"/>
          <w:color w:val="auto"/>
        </w:rPr>
        <w:t>Artisan serves as the investment adviser to Artisan Funds, Artisan Global Funds and Artisan Private Funds. Artisan Funds and Artisan Global Funds are corporate entities, the business and affairs of which are managed by their respective boards of directors. The shareholders of the funds retain voting rights, including rights to elect and reelect members of their respective boards of directors. Each series of Artisan Funds is a VOE and is separately evaluated for consolidation under the VOE model. The shareholders of Artisan Global Funds lack simple majority liquidation rights, and as a result, each sub-fund of Artisan Global Funds is evaluated for consolidation under the VIE model. Artisan Private Funds are also evaluated for consolidation under the VIE model because third-party equity holders of the funds generally lack the ability to divest Artisan of its control of the funds.</w:t>
      </w:r>
    </w:p>
    <w:p>
      <w:pPr>
        <w:spacing w:after="0" w:line="91" w:lineRule="exact"/>
        <w:rPr>
          <w:sz w:val="20"/>
          <w:szCs w:val="20"/>
          <w:color w:val="auto"/>
        </w:rPr>
      </w:pPr>
    </w:p>
    <w:p>
      <w:pPr>
        <w:ind w:right="220"/>
        <w:spacing w:after="0" w:line="260" w:lineRule="auto"/>
        <w:rPr>
          <w:sz w:val="20"/>
          <w:szCs w:val="20"/>
          <w:color w:val="auto"/>
        </w:rPr>
      </w:pPr>
      <w:r>
        <w:rPr>
          <w:rFonts w:ascii="Times New Roman" w:cs="Times New Roman" w:eastAsia="Times New Roman" w:hAnsi="Times New Roman"/>
          <w:sz w:val="16"/>
          <w:szCs w:val="16"/>
          <w:color w:val="auto"/>
        </w:rPr>
        <w:t>From time to time, the Company makes investments in Artisan Funds, Artisan Global Funds and Artisan Private Funds. If the investment results in a controlling financial interest, APAM consolidates the fund and the underlying activity of the entire fund is included in Artisan’s unaudited consolidated financial statements. As of March 31, 2026, Artisan had a controlling financial interest in four sub-funds of Artisan Global Funds, three Artisan Private Funds and one series of Artisan Funds and, as a result, these funds are included in Artisan’s unaudited consolidated financial statements. Because these consolidated investment products meet the definition of investment companies under U.S. GAAP, Artisan has retained the specialized industry accounting principles for investment companies in the consolidated financial statements. See Note 7, “Variable Interest Entities and Consolidated Investment Products” for additional details.</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Recent accounting pronouncements</w:t>
      </w:r>
    </w:p>
    <w:p>
      <w:pPr>
        <w:spacing w:after="0" w:line="115" w:lineRule="exact"/>
        <w:rPr>
          <w:sz w:val="20"/>
          <w:szCs w:val="20"/>
          <w:color w:val="auto"/>
        </w:rPr>
      </w:pPr>
    </w:p>
    <w:p>
      <w:pPr>
        <w:ind w:right="120"/>
        <w:spacing w:after="0" w:line="249" w:lineRule="auto"/>
        <w:rPr>
          <w:sz w:val="20"/>
          <w:szCs w:val="20"/>
          <w:color w:val="auto"/>
        </w:rPr>
      </w:pPr>
      <w:r>
        <w:rPr>
          <w:rFonts w:ascii="Times New Roman" w:cs="Times New Roman" w:eastAsia="Times New Roman" w:hAnsi="Times New Roman"/>
          <w:sz w:val="16"/>
          <w:szCs w:val="16"/>
          <w:color w:val="auto"/>
        </w:rPr>
        <w:t>In September 2025, the Financial Accounting Standards Board (“FASB”) issued Accounting Standards Update (“ASU”) 2025-06, “Intangibles — Goodwill and Other — Internal-Use Software (Subtopic 350-40): Targeted Improvements to the Accounting for Internal-Use Software,” which removes all references to software development project stages so that the guidance is neutral to different software development methods. The amendment eliminates the project stage model and clarifies that capitalization of internal-use software costs commences when management has authorized and committed funding for the project and it is probable that software will be completed and used to perform the function intended. The Company is required to adopt the guidance for the year ending December 31, 2028. The Company is currently evaluating the impact of the ASU on its consolidated financial statements.</w:t>
      </w:r>
    </w:p>
    <w:p>
      <w:pPr>
        <w:spacing w:after="0" w:line="83" w:lineRule="exact"/>
        <w:rPr>
          <w:sz w:val="20"/>
          <w:szCs w:val="20"/>
          <w:color w:val="auto"/>
        </w:rPr>
      </w:pPr>
    </w:p>
    <w:p>
      <w:pPr>
        <w:ind w:right="40"/>
        <w:spacing w:after="0" w:line="272" w:lineRule="auto"/>
        <w:rPr>
          <w:sz w:val="20"/>
          <w:szCs w:val="20"/>
          <w:color w:val="auto"/>
        </w:rPr>
      </w:pPr>
      <w:r>
        <w:rPr>
          <w:rFonts w:ascii="Times New Roman" w:cs="Times New Roman" w:eastAsia="Times New Roman" w:hAnsi="Times New Roman"/>
          <w:sz w:val="16"/>
          <w:szCs w:val="16"/>
          <w:color w:val="auto"/>
        </w:rPr>
        <w:t>In November 2024, the FASB issued ASU 2024-03, “Disaggregation of Income Statement Expenses”, which requires disclosure of additional information and disaggregation of certain expenses included in the income statement. The Company is required to adopt the guidance for the year ending December 31, 2027. The Company is currently evaluating the impact of this ASU on its consolidated financial statements.</w:t>
      </w:r>
    </w:p>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Note 3. Acquisition</w:t>
      </w:r>
    </w:p>
    <w:p>
      <w:pPr>
        <w:spacing w:after="0" w:line="115" w:lineRule="exact"/>
        <w:rPr>
          <w:sz w:val="20"/>
          <w:szCs w:val="20"/>
          <w:color w:val="auto"/>
        </w:rPr>
      </w:pPr>
    </w:p>
    <w:p>
      <w:pPr>
        <w:ind w:right="120"/>
        <w:spacing w:after="0" w:line="260" w:lineRule="auto"/>
        <w:rPr>
          <w:sz w:val="20"/>
          <w:szCs w:val="20"/>
          <w:color w:val="auto"/>
        </w:rPr>
      </w:pPr>
      <w:r>
        <w:rPr>
          <w:rFonts w:ascii="Times New Roman" w:cs="Times New Roman" w:eastAsia="Times New Roman" w:hAnsi="Times New Roman"/>
          <w:sz w:val="16"/>
          <w:szCs w:val="16"/>
          <w:color w:val="auto"/>
        </w:rPr>
        <w:t>On January 2, 2026, the Company completed the acquisition of 100% of the equity interests of Grandview, a U.S. real estate private equity firm. Consideration included an up-front cash payment of $22.5 million, subject to customary post-closing working capital adjustments. It also included contingent consideration, estimated to be</w:t>
      </w:r>
    </w:p>
    <w:p>
      <w:pPr>
        <w:spacing w:after="0" w:line="1" w:lineRule="exact"/>
        <w:rPr>
          <w:sz w:val="20"/>
          <w:szCs w:val="20"/>
          <w:color w:val="auto"/>
        </w:rPr>
      </w:pPr>
    </w:p>
    <w:p>
      <w:pPr>
        <w:ind w:right="640"/>
        <w:spacing w:after="0" w:line="270" w:lineRule="auto"/>
        <w:rPr>
          <w:sz w:val="20"/>
          <w:szCs w:val="20"/>
          <w:color w:val="auto"/>
        </w:rPr>
      </w:pPr>
      <w:r>
        <w:rPr>
          <w:rFonts w:ascii="Times New Roman" w:cs="Times New Roman" w:eastAsia="Times New Roman" w:hAnsi="Times New Roman"/>
          <w:sz w:val="16"/>
          <w:szCs w:val="16"/>
          <w:color w:val="auto"/>
        </w:rPr>
        <w:t>$25.9 million, associated with the achievement of committed capital milestones and certain revenue run rates for future Grandview Funds as well as the underlying performance of certain future funds over a period of up to seven years.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acquisition of Grandview provided an entry point into a new asset class and expanded the Company’s multi-asset investment platform.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following table summarizes the estimated fair value amounts recognized for the assets acquired and liabilities assumed and resulting goodwill as of the acquisition date.</w:t>
      </w: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88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2140" w:type="dxa"/>
            <w:vAlign w:val="bottom"/>
            <w:tcBorders>
              <w:bottom w:val="single" w:sz="8" w:color="auto"/>
            </w:tcBorders>
          </w:tcPr>
          <w:p>
            <w:pPr>
              <w:jc w:val="right"/>
              <w:ind w:right="399"/>
              <w:spacing w:after="0"/>
              <w:rPr>
                <w:sz w:val="20"/>
                <w:szCs w:val="20"/>
                <w:color w:val="auto"/>
              </w:rPr>
            </w:pPr>
            <w:r>
              <w:rPr>
                <w:rFonts w:ascii="Times New Roman" w:cs="Times New Roman" w:eastAsia="Times New Roman" w:hAnsi="Times New Roman"/>
                <w:sz w:val="16"/>
                <w:szCs w:val="16"/>
                <w:b w:val="1"/>
                <w:bCs w:val="1"/>
                <w:color w:val="auto"/>
              </w:rPr>
              <w:t>Estimated Fair Value</w:t>
            </w:r>
          </w:p>
        </w:tc>
      </w:tr>
      <w:tr>
        <w:trPr>
          <w:trHeight w:val="213"/>
        </w:trPr>
        <w:tc>
          <w:tcPr>
            <w:tcW w:w="8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Goodwill</w:t>
            </w:r>
          </w:p>
        </w:tc>
        <w:tc>
          <w:tcPr>
            <w:tcW w:w="3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2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40,339</w:t>
            </w:r>
          </w:p>
        </w:tc>
      </w:tr>
      <w:tr>
        <w:trPr>
          <w:trHeight w:val="213"/>
        </w:trPr>
        <w:tc>
          <w:tcPr>
            <w:tcW w:w="88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Intangible assets</w:t>
            </w:r>
          </w:p>
        </w:tc>
        <w:tc>
          <w:tcPr>
            <w:tcW w:w="300" w:type="dxa"/>
            <w:vAlign w:val="bottom"/>
          </w:tcPr>
          <w:p>
            <w:pPr>
              <w:spacing w:after="0"/>
              <w:rPr>
                <w:sz w:val="18"/>
                <w:szCs w:val="18"/>
                <w:color w:val="auto"/>
              </w:rPr>
            </w:pPr>
          </w:p>
        </w:tc>
        <w:tc>
          <w:tcPr>
            <w:tcW w:w="2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8,225</w:t>
            </w:r>
          </w:p>
        </w:tc>
      </w:tr>
      <w:tr>
        <w:trPr>
          <w:trHeight w:val="219"/>
        </w:trPr>
        <w:tc>
          <w:tcPr>
            <w:tcW w:w="8800" w:type="dxa"/>
            <w:vAlign w:val="bottom"/>
            <w:shd w:val="clear" w:color="auto" w:fill="CCEEFF"/>
          </w:tcPr>
          <w:p>
            <w:pPr>
              <w:ind w:left="20"/>
              <w:spacing w:after="0" w:line="219" w:lineRule="exact"/>
              <w:rPr>
                <w:sz w:val="20"/>
                <w:szCs w:val="20"/>
                <w:color w:val="auto"/>
              </w:rPr>
            </w:pPr>
            <w:r>
              <w:rPr>
                <w:rFonts w:ascii="Times New Roman" w:cs="Times New Roman" w:eastAsia="Times New Roman" w:hAnsi="Times New Roman"/>
                <w:sz w:val="16"/>
                <w:szCs w:val="16"/>
                <w:color w:val="auto"/>
              </w:rPr>
              <w:t xml:space="preserve">Other net assets acquired </w:t>
            </w:r>
            <w:r>
              <w:rPr>
                <w:rFonts w:ascii="Times New Roman" w:cs="Times New Roman" w:eastAsia="Times New Roman" w:hAnsi="Times New Roman"/>
                <w:sz w:val="21"/>
                <w:szCs w:val="21"/>
                <w:color w:val="auto"/>
                <w:vertAlign w:val="superscript"/>
              </w:rPr>
              <w:t>(1)</w:t>
            </w:r>
          </w:p>
        </w:tc>
        <w:tc>
          <w:tcPr>
            <w:tcW w:w="300" w:type="dxa"/>
            <w:vAlign w:val="bottom"/>
            <w:tcBorders>
              <w:bottom w:val="single" w:sz="8" w:color="auto"/>
            </w:tcBorders>
            <w:shd w:val="clear" w:color="auto" w:fill="CCEEFF"/>
          </w:tcPr>
          <w:p>
            <w:pPr>
              <w:spacing w:after="0"/>
              <w:rPr>
                <w:sz w:val="19"/>
                <w:szCs w:val="19"/>
                <w:color w:val="auto"/>
              </w:rPr>
            </w:pPr>
          </w:p>
        </w:tc>
        <w:tc>
          <w:tcPr>
            <w:tcW w:w="2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(183)</w:t>
            </w:r>
          </w:p>
        </w:tc>
      </w:tr>
      <w:tr>
        <w:trPr>
          <w:trHeight w:val="209"/>
        </w:trPr>
        <w:tc>
          <w:tcPr>
            <w:tcW w:w="880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Net assets acquired</w:t>
            </w:r>
          </w:p>
        </w:tc>
        <w:tc>
          <w:tcPr>
            <w:tcW w:w="30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2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48,381</w:t>
            </w:r>
          </w:p>
        </w:tc>
      </w:tr>
      <w:tr>
        <w:trPr>
          <w:trHeight w:val="20"/>
        </w:trPr>
        <w:tc>
          <w:tcPr>
            <w:tcW w:w="88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140" w:type="dxa"/>
            <w:vAlign w:val="bottom"/>
            <w:tcBorders>
              <w:bottom w:val="single" w:sz="8" w:color="auto"/>
            </w:tcBorders>
          </w:tcPr>
          <w:p>
            <w:pPr>
              <w:spacing w:after="0" w:line="20" w:lineRule="exact"/>
              <w:rPr>
                <w:sz w:val="1"/>
                <w:szCs w:val="1"/>
                <w:color w:val="auto"/>
              </w:rPr>
            </w:pPr>
          </w:p>
        </w:tc>
      </w:tr>
      <w:tr>
        <w:trPr>
          <w:trHeight w:val="237"/>
        </w:trPr>
        <w:tc>
          <w:tcPr>
            <w:tcW w:w="88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2140" w:type="dxa"/>
            <w:vAlign w:val="bottom"/>
            <w:shd w:val="clear" w:color="auto" w:fill="CCEEFF"/>
          </w:tcPr>
          <w:p>
            <w:pPr>
              <w:spacing w:after="0"/>
              <w:rPr>
                <w:sz w:val="20"/>
                <w:szCs w:val="20"/>
                <w:color w:val="auto"/>
              </w:rPr>
            </w:pPr>
          </w:p>
        </w:tc>
      </w:tr>
      <w:tr>
        <w:trPr>
          <w:trHeight w:val="214"/>
        </w:trPr>
        <w:tc>
          <w:tcPr>
            <w:tcW w:w="88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Cash paid</w:t>
            </w:r>
          </w:p>
        </w:tc>
        <w:tc>
          <w:tcPr>
            <w:tcW w:w="300" w:type="dxa"/>
            <w:vAlign w:val="bottom"/>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21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22,531</w:t>
            </w:r>
          </w:p>
        </w:tc>
      </w:tr>
      <w:tr>
        <w:trPr>
          <w:trHeight w:val="215"/>
        </w:trPr>
        <w:tc>
          <w:tcPr>
            <w:tcW w:w="8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Contingent consideration</w:t>
            </w:r>
          </w:p>
        </w:tc>
        <w:tc>
          <w:tcPr>
            <w:tcW w:w="300" w:type="dxa"/>
            <w:vAlign w:val="bottom"/>
            <w:tcBorders>
              <w:bottom w:val="single" w:sz="8" w:color="auto"/>
            </w:tcBorders>
            <w:shd w:val="clear" w:color="auto" w:fill="CCEEFF"/>
          </w:tcPr>
          <w:p>
            <w:pPr>
              <w:spacing w:after="0"/>
              <w:rPr>
                <w:sz w:val="18"/>
                <w:szCs w:val="18"/>
                <w:color w:val="auto"/>
              </w:rPr>
            </w:pPr>
          </w:p>
        </w:tc>
        <w:tc>
          <w:tcPr>
            <w:tcW w:w="2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25,850</w:t>
            </w:r>
          </w:p>
        </w:tc>
      </w:tr>
      <w:tr>
        <w:trPr>
          <w:trHeight w:val="233"/>
        </w:trPr>
        <w:tc>
          <w:tcPr>
            <w:tcW w:w="880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Acquisition cost</w:t>
            </w:r>
          </w:p>
        </w:tc>
        <w:tc>
          <w:tcPr>
            <w:tcW w:w="300" w:type="dxa"/>
            <w:vAlign w:val="bottom"/>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21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48,381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5594350</wp:posOffset>
            </wp:positionH>
            <wp:positionV relativeFrom="paragraph">
              <wp:posOffset>-12700</wp:posOffset>
            </wp:positionV>
            <wp:extent cx="154305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543050" cy="8255"/>
                    </a:xfrm>
                    <a:prstGeom prst="rect">
                      <a:avLst/>
                    </a:prstGeom>
                    <a:noFill/>
                  </pic:spPr>
                </pic:pic>
              </a:graphicData>
            </a:graphic>
          </wp:anchor>
        </w:drawing>
      </w:r>
    </w:p>
    <w:p>
      <w:pPr>
        <w:ind w:left="160" w:hanging="134"/>
        <w:spacing w:after="0" w:line="227" w:lineRule="auto"/>
        <w:tabs>
          <w:tab w:leader="none" w:pos="160" w:val="left"/>
        </w:tabs>
        <w:numPr>
          <w:ilvl w:val="0"/>
          <w:numId w:val="4"/>
        </w:numPr>
        <w:rPr>
          <w:rFonts w:ascii="Times New Roman" w:cs="Times New Roman" w:eastAsia="Times New Roman" w:hAnsi="Times New Roman"/>
          <w:sz w:val="17"/>
          <w:szCs w:val="17"/>
          <w:color w:val="auto"/>
          <w:vertAlign w:val="superscript"/>
        </w:rPr>
      </w:pPr>
      <w:r>
        <w:rPr>
          <w:rFonts w:ascii="Times New Roman" w:cs="Times New Roman" w:eastAsia="Times New Roman" w:hAnsi="Times New Roman"/>
          <w:sz w:val="13"/>
          <w:szCs w:val="13"/>
          <w:color w:val="auto"/>
        </w:rPr>
        <w:t>Other net assets acquired and other liabilities assumed were not material individually or in the aggregate.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5594350</wp:posOffset>
            </wp:positionH>
            <wp:positionV relativeFrom="paragraph">
              <wp:posOffset>-104140</wp:posOffset>
            </wp:positionV>
            <wp:extent cx="154305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543050" cy="8255"/>
                    </a:xfrm>
                    <a:prstGeom prst="rect">
                      <a:avLst/>
                    </a:prstGeom>
                    <a:noFill/>
                  </pic:spPr>
                </pic:pic>
              </a:graphicData>
            </a:graphic>
          </wp:anchor>
        </w:drawing>
      </w:r>
    </w:p>
    <w:p>
      <w:pPr>
        <w:spacing w:after="0" w:line="300" w:lineRule="exact"/>
        <w:rPr>
          <w:sz w:val="20"/>
          <w:szCs w:val="20"/>
          <w:color w:val="auto"/>
        </w:rPr>
      </w:pPr>
    </w:p>
    <w:p>
      <w:pPr>
        <w:ind w:right="60"/>
        <w:spacing w:after="0" w:line="280" w:lineRule="auto"/>
        <w:rPr>
          <w:sz w:val="20"/>
          <w:szCs w:val="20"/>
          <w:color w:val="auto"/>
        </w:rPr>
      </w:pPr>
      <w:r>
        <w:rPr>
          <w:rFonts w:ascii="Times New Roman" w:cs="Times New Roman" w:eastAsia="Times New Roman" w:hAnsi="Times New Roman"/>
          <w:sz w:val="16"/>
          <w:szCs w:val="16"/>
          <w:color w:val="auto"/>
        </w:rPr>
        <w:t>The goodwill is primarily attributable to expected growth opportunities from the combined operations. The amount of goodwill expected to be deductible for tax purposes is approximately $14.5 million.</w:t>
      </w:r>
    </w:p>
    <w:p>
      <w:pPr>
        <w:spacing w:after="0" w:line="192" w:lineRule="exact"/>
        <w:rPr>
          <w:sz w:val="20"/>
          <w:szCs w:val="20"/>
          <w:color w:val="auto"/>
        </w:rPr>
      </w:pPr>
    </w:p>
    <w:p>
      <w:pPr>
        <w:ind w:right="100"/>
        <w:spacing w:after="0" w:line="263" w:lineRule="auto"/>
        <w:rPr>
          <w:sz w:val="20"/>
          <w:szCs w:val="20"/>
          <w:color w:val="auto"/>
        </w:rPr>
      </w:pPr>
      <w:r>
        <w:rPr>
          <w:rFonts w:ascii="Times New Roman" w:cs="Times New Roman" w:eastAsia="Times New Roman" w:hAnsi="Times New Roman"/>
          <w:sz w:val="16"/>
          <w:szCs w:val="16"/>
          <w:color w:val="auto"/>
        </w:rPr>
        <w:t>The definite-lived intangible assets relate to management contracts and tradename, which will be amortized over their estimated useful lives of 8 and 15 years, respectively. Amortization expense related to intangible assets was $0.2 million for the three months ended March 31, 2026. The estimated remaining amortization expense is $1.0 million per year.</w:t>
      </w:r>
    </w:p>
    <w:p>
      <w:pPr>
        <w:spacing w:after="0" w:line="192" w:lineRule="exact"/>
        <w:rPr>
          <w:sz w:val="20"/>
          <w:szCs w:val="20"/>
          <w:color w:val="auto"/>
        </w:rPr>
      </w:pPr>
    </w:p>
    <w:p>
      <w:pPr>
        <w:ind w:right="580"/>
        <w:spacing w:after="0" w:line="263" w:lineRule="auto"/>
        <w:rPr>
          <w:sz w:val="20"/>
          <w:szCs w:val="20"/>
          <w:color w:val="auto"/>
        </w:rPr>
      </w:pPr>
      <w:r>
        <w:rPr>
          <w:rFonts w:ascii="Times New Roman" w:cs="Times New Roman" w:eastAsia="Times New Roman" w:hAnsi="Times New Roman"/>
          <w:sz w:val="16"/>
          <w:szCs w:val="16"/>
          <w:color w:val="auto"/>
        </w:rPr>
        <w:t>Grandview’s results are included in the Company’s consolidated results starting from the closing date. For the three months ended March 31, 2026, the Company’s consolidated results included $2.1 million of revenue related to the acquired business. The acquisition does not meet any of the significance tests under Rule 1-02 of Regulation S-X; therefore, separate acquiree financial statements and pro forma financial information are not required.</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Note 4. Investment Securities</w:t>
      </w:r>
    </w:p>
    <w:p>
      <w:pPr>
        <w:spacing w:after="0" w:line="115" w:lineRule="exact"/>
        <w:rPr>
          <w:sz w:val="20"/>
          <w:szCs w:val="20"/>
          <w:color w:val="auto"/>
        </w:rPr>
      </w:pPr>
    </w:p>
    <w:p>
      <w:pPr>
        <w:ind w:right="60"/>
        <w:spacing w:after="0" w:line="269" w:lineRule="auto"/>
        <w:rPr>
          <w:sz w:val="20"/>
          <w:szCs w:val="20"/>
          <w:color w:val="auto"/>
        </w:rPr>
      </w:pPr>
      <w:r>
        <w:rPr>
          <w:rFonts w:ascii="Times New Roman" w:cs="Times New Roman" w:eastAsia="Times New Roman" w:hAnsi="Times New Roman"/>
          <w:sz w:val="16"/>
          <w:szCs w:val="16"/>
          <w:color w:val="auto"/>
        </w:rPr>
        <w:t>Artisan’s investments in equity securities consist of investments in Artisan Funds, Artisan Global Funds and Artisan Private Funds. The disclosures below detail Artisan’s investments, excluding money market funds and consolidated investment products. Investments held by consolidated investment products are described in Note 7, “Variable Interest Entities and Consolidated Investment Products.”</w:t>
      </w:r>
    </w:p>
    <w:tbl>
      <w:tblPr>
        <w:tblLayout w:type="fixed"/>
        <w:tblInd w:w="0" w:type="dxa"/>
        <w:tblCellMar>
          <w:top w:w="0" w:type="dxa"/>
          <w:left w:w="0" w:type="dxa"/>
          <w:bottom w:w="0" w:type="dxa"/>
          <w:right w:w="0" w:type="dxa"/>
        </w:tblCellMar>
      </w:tblPr>
      <w:tr>
        <w:trPr>
          <w:trHeight w:val="165"/>
        </w:trPr>
        <w:tc>
          <w:tcPr>
            <w:tcW w:w="7800" w:type="dxa"/>
            <w:vAlign w:val="bottom"/>
          </w:tcPr>
          <w:p>
            <w:pPr>
              <w:spacing w:after="0"/>
              <w:rPr>
                <w:sz w:val="14"/>
                <w:szCs w:val="14"/>
                <w:color w:val="auto"/>
              </w:rPr>
            </w:pPr>
          </w:p>
        </w:tc>
        <w:tc>
          <w:tcPr>
            <w:tcW w:w="1780" w:type="dxa"/>
            <w:vAlign w:val="bottom"/>
            <w:gridSpan w:val="3"/>
            <w:vMerge w:val="restart"/>
          </w:tcPr>
          <w:p>
            <w:pPr>
              <w:ind w:left="100"/>
              <w:spacing w:after="0"/>
              <w:rPr>
                <w:sz w:val="20"/>
                <w:szCs w:val="20"/>
                <w:color w:val="auto"/>
              </w:rPr>
            </w:pPr>
            <w:r>
              <w:rPr>
                <w:rFonts w:ascii="Times New Roman" w:cs="Times New Roman" w:eastAsia="Times New Roman" w:hAnsi="Times New Roman"/>
                <w:sz w:val="16"/>
                <w:szCs w:val="16"/>
                <w:b w:val="1"/>
                <w:bCs w:val="1"/>
                <w:color w:val="auto"/>
              </w:rPr>
              <w:t>As of March 31, 2026</w:t>
            </w:r>
          </w:p>
        </w:tc>
        <w:tc>
          <w:tcPr>
            <w:tcW w:w="120" w:type="dxa"/>
            <w:vAlign w:val="bottom"/>
          </w:tcPr>
          <w:p>
            <w:pPr>
              <w:spacing w:after="0"/>
              <w:rPr>
                <w:sz w:val="14"/>
                <w:szCs w:val="14"/>
                <w:color w:val="auto"/>
              </w:rPr>
            </w:pPr>
          </w:p>
        </w:tc>
        <w:tc>
          <w:tcPr>
            <w:tcW w:w="1540" w:type="dxa"/>
            <w:vAlign w:val="bottom"/>
          </w:tcPr>
          <w:p>
            <w:pPr>
              <w:jc w:val="right"/>
              <w:ind w:right="79"/>
              <w:spacing w:after="0" w:line="165" w:lineRule="exact"/>
              <w:rPr>
                <w:sz w:val="20"/>
                <w:szCs w:val="20"/>
                <w:color w:val="auto"/>
              </w:rPr>
            </w:pPr>
            <w:r>
              <w:rPr>
                <w:rFonts w:ascii="Times New Roman" w:cs="Times New Roman" w:eastAsia="Times New Roman" w:hAnsi="Times New Roman"/>
                <w:sz w:val="16"/>
                <w:szCs w:val="16"/>
                <w:b w:val="1"/>
                <w:bCs w:val="1"/>
                <w:color w:val="auto"/>
              </w:rPr>
              <w:t>As of December 31,</w:t>
            </w:r>
          </w:p>
        </w:tc>
        <w:tc>
          <w:tcPr>
            <w:tcW w:w="0" w:type="dxa"/>
            <w:vAlign w:val="bottom"/>
          </w:tcPr>
          <w:p>
            <w:pPr>
              <w:spacing w:after="0"/>
              <w:rPr>
                <w:sz w:val="1"/>
                <w:szCs w:val="1"/>
                <w:color w:val="auto"/>
              </w:rPr>
            </w:pPr>
          </w:p>
        </w:tc>
      </w:tr>
      <w:tr>
        <w:trPr>
          <w:trHeight w:val="214"/>
        </w:trPr>
        <w:tc>
          <w:tcPr>
            <w:tcW w:w="7800" w:type="dxa"/>
            <w:vAlign w:val="bottom"/>
          </w:tcPr>
          <w:p>
            <w:pPr>
              <w:spacing w:after="0"/>
              <w:rPr>
                <w:sz w:val="18"/>
                <w:szCs w:val="18"/>
                <w:color w:val="auto"/>
              </w:rPr>
            </w:pPr>
          </w:p>
        </w:tc>
        <w:tc>
          <w:tcPr>
            <w:tcW w:w="1780" w:type="dxa"/>
            <w:vAlign w:val="bottom"/>
            <w:gridSpan w:val="3"/>
            <w:vMerge w:val="continue"/>
          </w:tcPr>
          <w:p>
            <w:pPr>
              <w:spacing w:after="0"/>
              <w:rPr>
                <w:sz w:val="18"/>
                <w:szCs w:val="18"/>
                <w:color w:val="auto"/>
              </w:rPr>
            </w:pPr>
          </w:p>
        </w:tc>
        <w:tc>
          <w:tcPr>
            <w:tcW w:w="120" w:type="dxa"/>
            <w:vAlign w:val="bottom"/>
          </w:tcPr>
          <w:p>
            <w:pPr>
              <w:spacing w:after="0"/>
              <w:rPr>
                <w:sz w:val="18"/>
                <w:szCs w:val="18"/>
                <w:color w:val="auto"/>
              </w:rPr>
            </w:pPr>
          </w:p>
        </w:tc>
        <w:tc>
          <w:tcPr>
            <w:tcW w:w="1540" w:type="dxa"/>
            <w:vAlign w:val="bottom"/>
          </w:tcPr>
          <w:p>
            <w:pPr>
              <w:jc w:val="right"/>
              <w:ind w:right="579"/>
              <w:spacing w:after="0"/>
              <w:rPr>
                <w:sz w:val="20"/>
                <w:szCs w:val="20"/>
                <w:color w:val="auto"/>
              </w:rPr>
            </w:pPr>
            <w:r>
              <w:rPr>
                <w:rFonts w:ascii="Times New Roman" w:cs="Times New Roman" w:eastAsia="Times New Roman" w:hAnsi="Times New Roman"/>
                <w:sz w:val="16"/>
                <w:szCs w:val="16"/>
                <w:b w:val="1"/>
                <w:bCs w:val="1"/>
                <w:color w:val="auto"/>
              </w:rPr>
              <w:t>2025</w:t>
            </w:r>
          </w:p>
        </w:tc>
        <w:tc>
          <w:tcPr>
            <w:tcW w:w="0" w:type="dxa"/>
            <w:vAlign w:val="bottom"/>
          </w:tcPr>
          <w:p>
            <w:pPr>
              <w:spacing w:after="0"/>
              <w:rPr>
                <w:sz w:val="1"/>
                <w:szCs w:val="1"/>
                <w:color w:val="auto"/>
              </w:rPr>
            </w:pPr>
          </w:p>
        </w:tc>
      </w:tr>
      <w:tr>
        <w:trPr>
          <w:trHeight w:val="211"/>
        </w:trPr>
        <w:tc>
          <w:tcPr>
            <w:tcW w:w="78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Seed investments in equity securities</w:t>
            </w:r>
          </w:p>
        </w:tc>
        <w:tc>
          <w:tcPr>
            <w:tcW w:w="220" w:type="dxa"/>
            <w:vAlign w:val="bottom"/>
            <w:tcBorders>
              <w:top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20,558</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42,708</w:t>
            </w:r>
          </w:p>
        </w:tc>
        <w:tc>
          <w:tcPr>
            <w:tcW w:w="0" w:type="dxa"/>
            <w:vAlign w:val="bottom"/>
          </w:tcPr>
          <w:p>
            <w:pPr>
              <w:spacing w:after="0"/>
              <w:rPr>
                <w:sz w:val="1"/>
                <w:szCs w:val="1"/>
                <w:color w:val="auto"/>
              </w:rPr>
            </w:pPr>
          </w:p>
        </w:tc>
      </w:tr>
      <w:tr>
        <w:trPr>
          <w:trHeight w:val="213"/>
        </w:trPr>
        <w:tc>
          <w:tcPr>
            <w:tcW w:w="78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Seed investments in equity securities accounted for under the equity method</w:t>
            </w:r>
          </w:p>
        </w:tc>
        <w:tc>
          <w:tcPr>
            <w:tcW w:w="22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14,054</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3,341</w:t>
            </w:r>
          </w:p>
        </w:tc>
        <w:tc>
          <w:tcPr>
            <w:tcW w:w="0" w:type="dxa"/>
            <w:vAlign w:val="bottom"/>
          </w:tcPr>
          <w:p>
            <w:pPr>
              <w:spacing w:after="0"/>
              <w:rPr>
                <w:sz w:val="1"/>
                <w:szCs w:val="1"/>
                <w:color w:val="auto"/>
              </w:rPr>
            </w:pPr>
          </w:p>
        </w:tc>
      </w:tr>
      <w:tr>
        <w:trPr>
          <w:trHeight w:val="219"/>
        </w:trPr>
        <w:tc>
          <w:tcPr>
            <w:tcW w:w="7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Compensation plan investments in equity securities</w:t>
            </w:r>
          </w:p>
        </w:tc>
        <w:tc>
          <w:tcPr>
            <w:tcW w:w="2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190,491</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163,875</w:t>
            </w:r>
          </w:p>
        </w:tc>
        <w:tc>
          <w:tcPr>
            <w:tcW w:w="0" w:type="dxa"/>
            <w:vAlign w:val="bottom"/>
          </w:tcPr>
          <w:p>
            <w:pPr>
              <w:spacing w:after="0"/>
              <w:rPr>
                <w:sz w:val="1"/>
                <w:szCs w:val="1"/>
                <w:color w:val="auto"/>
              </w:rPr>
            </w:pPr>
          </w:p>
        </w:tc>
      </w:tr>
      <w:tr>
        <w:trPr>
          <w:trHeight w:val="213"/>
        </w:trPr>
        <w:tc>
          <w:tcPr>
            <w:tcW w:w="78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Compensation plan investment securities accounted for under the equity method</w:t>
            </w:r>
          </w:p>
        </w:tc>
        <w:tc>
          <w:tcPr>
            <w:tcW w:w="22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37,681</w:t>
            </w: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18,120</w:t>
            </w:r>
          </w:p>
        </w:tc>
        <w:tc>
          <w:tcPr>
            <w:tcW w:w="0" w:type="dxa"/>
            <w:vAlign w:val="bottom"/>
          </w:tcPr>
          <w:p>
            <w:pPr>
              <w:spacing w:after="0"/>
              <w:rPr>
                <w:sz w:val="1"/>
                <w:szCs w:val="1"/>
                <w:color w:val="auto"/>
              </w:rPr>
            </w:pPr>
          </w:p>
        </w:tc>
      </w:tr>
      <w:tr>
        <w:trPr>
          <w:trHeight w:val="237"/>
        </w:trPr>
        <w:tc>
          <w:tcPr>
            <w:tcW w:w="78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Total investment securities</w:t>
            </w: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262,784</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228,044</w:t>
            </w:r>
          </w:p>
        </w:tc>
        <w:tc>
          <w:tcPr>
            <w:tcW w:w="0" w:type="dxa"/>
            <w:vAlign w:val="bottom"/>
          </w:tcPr>
          <w:p>
            <w:pPr>
              <w:spacing w:after="0"/>
              <w:rPr>
                <w:sz w:val="1"/>
                <w:szCs w:val="1"/>
                <w:color w:val="auto"/>
              </w:rPr>
            </w:pPr>
          </w:p>
        </w:tc>
      </w:tr>
      <w:tr>
        <w:trPr>
          <w:trHeight w:val="20"/>
        </w:trPr>
        <w:tc>
          <w:tcPr>
            <w:tcW w:w="780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6"/>
                <w:szCs w:val="16"/>
                <w:color w:val="auto"/>
              </w:rPr>
              <w:t>Unrealized gain (loss) related to investment securities held during the periods indicated below were as follows:</w:t>
            </w: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3"/>
        </w:trPr>
        <w:tc>
          <w:tcPr>
            <w:tcW w:w="780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3"/>
        </w:trPr>
        <w:tc>
          <w:tcPr>
            <w:tcW w:w="78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3220" w:type="dxa"/>
            <w:vAlign w:val="bottom"/>
            <w:tcBorders>
              <w:bottom w:val="single" w:sz="8" w:color="auto"/>
            </w:tcBorders>
            <w:gridSpan w:val="4"/>
          </w:tcPr>
          <w:p>
            <w:pPr>
              <w:jc w:val="right"/>
              <w:ind w:right="259"/>
              <w:spacing w:after="0"/>
              <w:rPr>
                <w:sz w:val="20"/>
                <w:szCs w:val="20"/>
                <w:color w:val="auto"/>
              </w:rPr>
            </w:pPr>
            <w:r>
              <w:rPr>
                <w:rFonts w:ascii="Times New Roman" w:cs="Times New Roman" w:eastAsia="Times New Roman" w:hAnsi="Times New Roman"/>
                <w:sz w:val="16"/>
                <w:szCs w:val="16"/>
                <w:b w:val="1"/>
                <w:bCs w:val="1"/>
                <w:color w:val="auto"/>
              </w:rPr>
              <w:t>For the Three Months Ended March 31,</w:t>
            </w:r>
          </w:p>
        </w:tc>
        <w:tc>
          <w:tcPr>
            <w:tcW w:w="0" w:type="dxa"/>
            <w:vAlign w:val="bottom"/>
          </w:tcPr>
          <w:p>
            <w:pPr>
              <w:spacing w:after="0"/>
              <w:rPr>
                <w:sz w:val="1"/>
                <w:szCs w:val="1"/>
                <w:color w:val="auto"/>
              </w:rPr>
            </w:pPr>
          </w:p>
        </w:tc>
      </w:tr>
      <w:tr>
        <w:trPr>
          <w:trHeight w:val="211"/>
        </w:trPr>
        <w:tc>
          <w:tcPr>
            <w:tcW w:w="78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ind w:right="599"/>
              <w:spacing w:after="0"/>
              <w:rPr>
                <w:sz w:val="20"/>
                <w:szCs w:val="20"/>
                <w:color w:val="auto"/>
              </w:rPr>
            </w:pPr>
            <w:r>
              <w:rPr>
                <w:rFonts w:ascii="Times New Roman" w:cs="Times New Roman" w:eastAsia="Times New Roman" w:hAnsi="Times New Roman"/>
                <w:sz w:val="16"/>
                <w:szCs w:val="16"/>
                <w:b w:val="1"/>
                <w:bCs w:val="1"/>
                <w:color w:val="auto"/>
              </w:rPr>
              <w:t>2026</w:t>
            </w: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jc w:val="right"/>
              <w:ind w:right="579"/>
              <w:spacing w:after="0"/>
              <w:rPr>
                <w:sz w:val="20"/>
                <w:szCs w:val="20"/>
                <w:color w:val="auto"/>
              </w:rPr>
            </w:pPr>
            <w:r>
              <w:rPr>
                <w:rFonts w:ascii="Times New Roman" w:cs="Times New Roman" w:eastAsia="Times New Roman" w:hAnsi="Times New Roman"/>
                <w:sz w:val="16"/>
                <w:szCs w:val="16"/>
                <w:b w:val="1"/>
                <w:bCs w:val="1"/>
                <w:color w:val="auto"/>
              </w:rPr>
              <w:t>2025</w:t>
            </w:r>
          </w:p>
        </w:tc>
        <w:tc>
          <w:tcPr>
            <w:tcW w:w="0" w:type="dxa"/>
            <w:vAlign w:val="bottom"/>
          </w:tcPr>
          <w:p>
            <w:pPr>
              <w:spacing w:after="0"/>
              <w:rPr>
                <w:sz w:val="1"/>
                <w:szCs w:val="1"/>
                <w:color w:val="auto"/>
              </w:rPr>
            </w:pPr>
          </w:p>
        </w:tc>
      </w:tr>
      <w:tr>
        <w:trPr>
          <w:trHeight w:val="211"/>
        </w:trPr>
        <w:tc>
          <w:tcPr>
            <w:tcW w:w="7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Unrealized gain (loss) in the period on investment securities held at the end of the period</w:t>
            </w:r>
          </w:p>
        </w:tc>
        <w:tc>
          <w:tcPr>
            <w:tcW w:w="2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(7,349)</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2,748</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Note 5. Fair Value Measurements</w:t>
      </w:r>
    </w:p>
    <w:p>
      <w:pPr>
        <w:spacing w:after="0" w:line="115" w:lineRule="exact"/>
        <w:rPr>
          <w:sz w:val="20"/>
          <w:szCs w:val="20"/>
          <w:color w:val="auto"/>
        </w:rPr>
      </w:pPr>
    </w:p>
    <w:p>
      <w:pPr>
        <w:ind w:right="460"/>
        <w:spacing w:after="0" w:line="298" w:lineRule="auto"/>
        <w:rPr>
          <w:sz w:val="20"/>
          <w:szCs w:val="20"/>
          <w:color w:val="auto"/>
        </w:rPr>
      </w:pPr>
      <w:r>
        <w:rPr>
          <w:rFonts w:ascii="Times New Roman" w:cs="Times New Roman" w:eastAsia="Times New Roman" w:hAnsi="Times New Roman"/>
          <w:sz w:val="16"/>
          <w:szCs w:val="16"/>
          <w:color w:val="auto"/>
        </w:rPr>
        <w:t>In accordance with ASC 820, fair value is defined as the price that Artisan would receive upon selling an asset or transferring a liability in an orderly transaction to an independent buyer in its principal or most advantageous market. The following three-tier fair value hierarchy prioritizes the inputs used in measuring fair value:</w:t>
      </w:r>
    </w:p>
    <w:p>
      <w:pPr>
        <w:spacing w:after="0" w:line="56" w:lineRule="exact"/>
        <w:rPr>
          <w:sz w:val="20"/>
          <w:szCs w:val="20"/>
          <w:color w:val="auto"/>
        </w:rPr>
      </w:pPr>
    </w:p>
    <w:p>
      <w:pPr>
        <w:ind w:left="580" w:hanging="329"/>
        <w:spacing w:after="0"/>
        <w:tabs>
          <w:tab w:leader="none" w:pos="5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6"/>
          <w:szCs w:val="16"/>
          <w:color w:val="auto"/>
        </w:rPr>
        <w:t>Level 1 – Observable inputs such as quoted (unadjusted) market prices in active markets for identical securities.</w:t>
      </w:r>
    </w:p>
    <w:p>
      <w:pPr>
        <w:spacing w:after="0" w:line="117" w:lineRule="exact"/>
        <w:rPr>
          <w:rFonts w:ascii="Times New Roman" w:cs="Times New Roman" w:eastAsia="Times New Roman" w:hAnsi="Times New Roman"/>
          <w:sz w:val="18"/>
          <w:szCs w:val="18"/>
          <w:color w:val="auto"/>
        </w:rPr>
      </w:pPr>
    </w:p>
    <w:p>
      <w:pPr>
        <w:ind w:left="580" w:hanging="329"/>
        <w:spacing w:after="0"/>
        <w:tabs>
          <w:tab w:leader="none" w:pos="5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6"/>
          <w:szCs w:val="16"/>
          <w:color w:val="auto"/>
        </w:rPr>
        <w:t>Level 2 – Other significant observable inputs (including but not limited to quoted prices for similar instruments, interest rates, prepayment speeds, credit risk, etc.).</w:t>
      </w:r>
    </w:p>
    <w:p>
      <w:pPr>
        <w:spacing w:after="0" w:line="117" w:lineRule="exact"/>
        <w:rPr>
          <w:rFonts w:ascii="Times New Roman" w:cs="Times New Roman" w:eastAsia="Times New Roman" w:hAnsi="Times New Roman"/>
          <w:sz w:val="18"/>
          <w:szCs w:val="18"/>
          <w:color w:val="auto"/>
        </w:rPr>
      </w:pPr>
    </w:p>
    <w:p>
      <w:pPr>
        <w:ind w:left="580" w:hanging="329"/>
        <w:spacing w:after="0"/>
        <w:tabs>
          <w:tab w:leader="none" w:pos="5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6"/>
          <w:szCs w:val="16"/>
          <w:color w:val="auto"/>
        </w:rPr>
        <w:t>Level 3 – Significant unobservable inputs (including Artisan’s own assumptions in determining fair value).</w:t>
      </w:r>
    </w:p>
    <w:p>
      <w:pPr>
        <w:spacing w:after="0" w:line="104" w:lineRule="exact"/>
        <w:rPr>
          <w:sz w:val="20"/>
          <w:szCs w:val="20"/>
          <w:color w:val="auto"/>
        </w:rPr>
      </w:pPr>
    </w:p>
    <w:p>
      <w:pPr>
        <w:ind w:right="520"/>
        <w:spacing w:after="0" w:line="298" w:lineRule="auto"/>
        <w:rPr>
          <w:sz w:val="20"/>
          <w:szCs w:val="20"/>
          <w:color w:val="auto"/>
        </w:rPr>
      </w:pPr>
      <w:r>
        <w:rPr>
          <w:rFonts w:ascii="Times New Roman" w:cs="Times New Roman" w:eastAsia="Times New Roman" w:hAnsi="Times New Roman"/>
          <w:sz w:val="16"/>
          <w:szCs w:val="16"/>
          <w:color w:val="auto"/>
        </w:rPr>
        <w:t>The table below presents information about Artisan’s seed and compensation plan investments that are measured at fair value; for information on instruments held by consolidated investment products, see Note 7, “Variable Interest Entities and Consolidated Investment Products.”</w:t>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following provides the hierarchy of inputs used to derive recurring fair value measurements of Artisan’s assets that are financial instruments as of March 31, 2026 and</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December 31, 2025:</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210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3980" w:type="dxa"/>
            <w:vAlign w:val="bottom"/>
            <w:tcBorders>
              <w:bottom w:val="single" w:sz="8" w:color="auto"/>
            </w:tcBorders>
            <w:gridSpan w:val="6"/>
          </w:tcPr>
          <w:p>
            <w:pPr>
              <w:jc w:val="center"/>
              <w:ind w:left="1079"/>
              <w:spacing w:after="0"/>
              <w:rPr>
                <w:sz w:val="20"/>
                <w:szCs w:val="20"/>
                <w:color w:val="auto"/>
              </w:rPr>
            </w:pPr>
            <w:r>
              <w:rPr>
                <w:rFonts w:ascii="Times New Roman" w:cs="Times New Roman" w:eastAsia="Times New Roman" w:hAnsi="Times New Roman"/>
                <w:sz w:val="16"/>
                <w:szCs w:val="16"/>
                <w:b w:val="1"/>
                <w:bCs w:val="1"/>
                <w:color w:val="auto"/>
              </w:rPr>
              <w:t>Assets and Liabilities at Fair Value</w:t>
            </w:r>
          </w:p>
        </w:tc>
        <w:tc>
          <w:tcPr>
            <w:tcW w:w="13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8"/>
        </w:trPr>
        <w:tc>
          <w:tcPr>
            <w:tcW w:w="21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720" w:type="dxa"/>
            <w:vAlign w:val="bottom"/>
            <w:gridSpan w:val="2"/>
          </w:tcPr>
          <w:p>
            <w:pPr>
              <w:jc w:val="center"/>
              <w:ind w:right="280"/>
              <w:spacing w:after="0" w:line="158" w:lineRule="exact"/>
              <w:rPr>
                <w:sz w:val="20"/>
                <w:szCs w:val="20"/>
                <w:color w:val="auto"/>
              </w:rPr>
            </w:pPr>
            <w:r>
              <w:rPr>
                <w:rFonts w:ascii="Times New Roman" w:cs="Times New Roman" w:eastAsia="Times New Roman" w:hAnsi="Times New Roman"/>
                <w:sz w:val="16"/>
                <w:szCs w:val="16"/>
                <w:b w:val="1"/>
                <w:bCs w:val="1"/>
                <w:color w:val="auto"/>
                <w:w w:val="99"/>
              </w:rPr>
              <w:t>NAV Practical</w:t>
            </w:r>
          </w:p>
        </w:tc>
        <w:tc>
          <w:tcPr>
            <w:tcW w:w="34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440" w:type="dxa"/>
            <w:vAlign w:val="bottom"/>
            <w:gridSpan w:val="2"/>
            <w:vMerge w:val="restart"/>
          </w:tcPr>
          <w:p>
            <w:pPr>
              <w:ind w:left="28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160" w:type="dxa"/>
            <w:vAlign w:val="bottom"/>
          </w:tcPr>
          <w:p>
            <w:pPr>
              <w:spacing w:after="0"/>
              <w:rPr>
                <w:sz w:val="14"/>
                <w:szCs w:val="14"/>
                <w:color w:val="auto"/>
              </w:rPr>
            </w:pPr>
          </w:p>
        </w:tc>
        <w:tc>
          <w:tcPr>
            <w:tcW w:w="1720" w:type="dxa"/>
            <w:vAlign w:val="bottom"/>
            <w:gridSpan w:val="2"/>
          </w:tcPr>
          <w:p>
            <w:pPr>
              <w:jc w:val="center"/>
              <w:ind w:right="280"/>
              <w:spacing w:after="0" w:line="162" w:lineRule="exact"/>
              <w:rPr>
                <w:sz w:val="20"/>
                <w:szCs w:val="20"/>
                <w:color w:val="auto"/>
              </w:rPr>
            </w:pPr>
            <w:r>
              <w:rPr>
                <w:rFonts w:ascii="Times New Roman" w:cs="Times New Roman" w:eastAsia="Times New Roman" w:hAnsi="Times New Roman"/>
                <w:sz w:val="16"/>
                <w:szCs w:val="16"/>
                <w:b w:val="1"/>
                <w:bCs w:val="1"/>
                <w:color w:val="auto"/>
              </w:rPr>
              <w:t>Expedient (No Fair</w:t>
            </w:r>
          </w:p>
        </w:tc>
        <w:tc>
          <w:tcPr>
            <w:tcW w:w="340" w:type="dxa"/>
            <w:vAlign w:val="bottom"/>
          </w:tcPr>
          <w:p>
            <w:pPr>
              <w:spacing w:after="0"/>
              <w:rPr>
                <w:sz w:val="14"/>
                <w:szCs w:val="14"/>
                <w:color w:val="auto"/>
              </w:rPr>
            </w:pPr>
          </w:p>
        </w:tc>
        <w:tc>
          <w:tcPr>
            <w:tcW w:w="1500" w:type="dxa"/>
            <w:vAlign w:val="bottom"/>
            <w:gridSpan w:val="2"/>
            <w:vMerge w:val="restart"/>
          </w:tcPr>
          <w:p>
            <w:pPr>
              <w:jc w:val="center"/>
              <w:ind w:right="480"/>
              <w:spacing w:after="0"/>
              <w:rPr>
                <w:sz w:val="20"/>
                <w:szCs w:val="20"/>
                <w:color w:val="auto"/>
              </w:rPr>
            </w:pPr>
            <w:r>
              <w:rPr>
                <w:rFonts w:ascii="Times New Roman" w:cs="Times New Roman" w:eastAsia="Times New Roman" w:hAnsi="Times New Roman"/>
                <w:sz w:val="16"/>
                <w:szCs w:val="16"/>
                <w:b w:val="1"/>
                <w:bCs w:val="1"/>
                <w:color w:val="auto"/>
              </w:rPr>
              <w:t>Level 1</w:t>
            </w:r>
          </w:p>
        </w:tc>
        <w:tc>
          <w:tcPr>
            <w:tcW w:w="420" w:type="dxa"/>
            <w:vAlign w:val="bottom"/>
          </w:tcPr>
          <w:p>
            <w:pPr>
              <w:spacing w:after="0"/>
              <w:rPr>
                <w:sz w:val="14"/>
                <w:szCs w:val="14"/>
                <w:color w:val="auto"/>
              </w:rPr>
            </w:pPr>
          </w:p>
        </w:tc>
        <w:tc>
          <w:tcPr>
            <w:tcW w:w="1440" w:type="dxa"/>
            <w:vAlign w:val="bottom"/>
            <w:gridSpan w:val="2"/>
            <w:vMerge w:val="restart"/>
          </w:tcPr>
          <w:p>
            <w:pPr>
              <w:ind w:left="200"/>
              <w:spacing w:after="0"/>
              <w:rPr>
                <w:sz w:val="20"/>
                <w:szCs w:val="20"/>
                <w:color w:val="auto"/>
              </w:rPr>
            </w:pPr>
            <w:r>
              <w:rPr>
                <w:rFonts w:ascii="Times New Roman" w:cs="Times New Roman" w:eastAsia="Times New Roman" w:hAnsi="Times New Roman"/>
                <w:sz w:val="16"/>
                <w:szCs w:val="16"/>
                <w:b w:val="1"/>
                <w:bCs w:val="1"/>
                <w:color w:val="auto"/>
              </w:rPr>
              <w:t>Level 2</w:t>
            </w:r>
          </w:p>
        </w:tc>
        <w:tc>
          <w:tcPr>
            <w:tcW w:w="340" w:type="dxa"/>
            <w:vAlign w:val="bottom"/>
          </w:tcPr>
          <w:p>
            <w:pPr>
              <w:spacing w:after="0"/>
              <w:rPr>
                <w:sz w:val="14"/>
                <w:szCs w:val="14"/>
                <w:color w:val="auto"/>
              </w:rPr>
            </w:pPr>
          </w:p>
        </w:tc>
        <w:tc>
          <w:tcPr>
            <w:tcW w:w="1380" w:type="dxa"/>
            <w:vAlign w:val="bottom"/>
            <w:vMerge w:val="restart"/>
          </w:tcPr>
          <w:p>
            <w:pPr>
              <w:ind w:left="260"/>
              <w:spacing w:after="0"/>
              <w:rPr>
                <w:sz w:val="20"/>
                <w:szCs w:val="20"/>
                <w:color w:val="auto"/>
              </w:rPr>
            </w:pPr>
            <w:r>
              <w:rPr>
                <w:rFonts w:ascii="Times New Roman" w:cs="Times New Roman" w:eastAsia="Times New Roman" w:hAnsi="Times New Roman"/>
                <w:sz w:val="16"/>
                <w:szCs w:val="16"/>
                <w:b w:val="1"/>
                <w:bCs w:val="1"/>
                <w:color w:val="auto"/>
              </w:rPr>
              <w:t>Level 3</w:t>
            </w:r>
          </w:p>
        </w:tc>
        <w:tc>
          <w:tcPr>
            <w:tcW w:w="0" w:type="dxa"/>
            <w:vAlign w:val="bottom"/>
          </w:tcPr>
          <w:p>
            <w:pPr>
              <w:spacing w:after="0"/>
              <w:rPr>
                <w:sz w:val="1"/>
                <w:szCs w:val="1"/>
                <w:color w:val="auto"/>
              </w:rPr>
            </w:pPr>
          </w:p>
        </w:tc>
      </w:tr>
      <w:tr>
        <w:trPr>
          <w:trHeight w:val="212"/>
        </w:trPr>
        <w:tc>
          <w:tcPr>
            <w:tcW w:w="2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4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172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rPr>
              <w:t>Value Level)</w:t>
            </w:r>
          </w:p>
        </w:tc>
        <w:tc>
          <w:tcPr>
            <w:tcW w:w="340" w:type="dxa"/>
            <w:vAlign w:val="bottom"/>
          </w:tcPr>
          <w:p>
            <w:pPr>
              <w:spacing w:after="0"/>
              <w:rPr>
                <w:sz w:val="18"/>
                <w:szCs w:val="18"/>
                <w:color w:val="auto"/>
              </w:rPr>
            </w:pPr>
          </w:p>
        </w:tc>
        <w:tc>
          <w:tcPr>
            <w:tcW w:w="1500" w:type="dxa"/>
            <w:vAlign w:val="bottom"/>
            <w:gridSpan w:val="2"/>
            <w:vMerge w:val="continue"/>
          </w:tcPr>
          <w:p>
            <w:pPr>
              <w:spacing w:after="0"/>
              <w:rPr>
                <w:sz w:val="18"/>
                <w:szCs w:val="18"/>
                <w:color w:val="auto"/>
              </w:rPr>
            </w:pPr>
          </w:p>
        </w:tc>
        <w:tc>
          <w:tcPr>
            <w:tcW w:w="420" w:type="dxa"/>
            <w:vAlign w:val="bottom"/>
          </w:tcPr>
          <w:p>
            <w:pPr>
              <w:spacing w:after="0"/>
              <w:rPr>
                <w:sz w:val="18"/>
                <w:szCs w:val="18"/>
                <w:color w:val="auto"/>
              </w:rPr>
            </w:pPr>
          </w:p>
        </w:tc>
        <w:tc>
          <w:tcPr>
            <w:tcW w:w="1440" w:type="dxa"/>
            <w:vAlign w:val="bottom"/>
            <w:gridSpan w:val="2"/>
            <w:vMerge w:val="continue"/>
          </w:tcPr>
          <w:p>
            <w:pPr>
              <w:spacing w:after="0"/>
              <w:rPr>
                <w:sz w:val="18"/>
                <w:szCs w:val="18"/>
                <w:color w:val="auto"/>
              </w:rPr>
            </w:pPr>
          </w:p>
        </w:tc>
        <w:tc>
          <w:tcPr>
            <w:tcW w:w="340" w:type="dxa"/>
            <w:vAlign w:val="bottom"/>
          </w:tcPr>
          <w:p>
            <w:pPr>
              <w:spacing w:after="0"/>
              <w:rPr>
                <w:sz w:val="18"/>
                <w:szCs w:val="18"/>
                <w:color w:val="auto"/>
              </w:rPr>
            </w:pPr>
          </w:p>
        </w:tc>
        <w:tc>
          <w:tcPr>
            <w:tcW w:w="13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97"/>
        </w:trPr>
        <w:tc>
          <w:tcPr>
            <w:tcW w:w="210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March 31, 2026</w:t>
            </w:r>
          </w:p>
        </w:tc>
        <w:tc>
          <w:tcPr>
            <w:tcW w:w="400" w:type="dxa"/>
            <w:vAlign w:val="bottom"/>
            <w:tcBorders>
              <w:top w:val="single" w:sz="8" w:color="auto"/>
            </w:tcBorders>
          </w:tcPr>
          <w:p>
            <w:pPr>
              <w:spacing w:after="0"/>
              <w:rPr>
                <w:sz w:val="17"/>
                <w:szCs w:val="17"/>
                <w:color w:val="auto"/>
              </w:rPr>
            </w:pPr>
          </w:p>
        </w:tc>
        <w:tc>
          <w:tcPr>
            <w:tcW w:w="132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60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138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420" w:type="dxa"/>
            <w:vAlign w:val="bottom"/>
            <w:tcBorders>
              <w:top w:val="single" w:sz="8" w:color="auto"/>
            </w:tcBorders>
          </w:tcPr>
          <w:p>
            <w:pPr>
              <w:spacing w:after="0"/>
              <w:rPr>
                <w:sz w:val="17"/>
                <w:szCs w:val="17"/>
                <w:color w:val="auto"/>
              </w:rPr>
            </w:pPr>
          </w:p>
        </w:tc>
        <w:tc>
          <w:tcPr>
            <w:tcW w:w="132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138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2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40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100" w:type="dxa"/>
            <w:vAlign w:val="bottom"/>
          </w:tcPr>
          <w:p>
            <w:pPr>
              <w:ind w:left="20"/>
              <w:spacing w:after="0" w:line="216" w:lineRule="exact"/>
              <w:rPr>
                <w:sz w:val="20"/>
                <w:szCs w:val="20"/>
                <w:color w:val="auto"/>
              </w:rPr>
            </w:pPr>
            <w:r>
              <w:rPr>
                <w:rFonts w:ascii="Times New Roman" w:cs="Times New Roman" w:eastAsia="Times New Roman" w:hAnsi="Times New Roman"/>
                <w:sz w:val="16"/>
                <w:szCs w:val="16"/>
                <w:color w:val="auto"/>
              </w:rPr>
              <w:t xml:space="preserve">Money market funds </w:t>
            </w:r>
            <w:r>
              <w:rPr>
                <w:rFonts w:ascii="Times New Roman" w:cs="Times New Roman" w:eastAsia="Times New Roman" w:hAnsi="Times New Roman"/>
                <w:sz w:val="21"/>
                <w:szCs w:val="21"/>
                <w:color w:val="auto"/>
                <w:vertAlign w:val="superscript"/>
              </w:rPr>
              <w:t>(1)</w:t>
            </w:r>
          </w:p>
        </w:tc>
        <w:tc>
          <w:tcPr>
            <w:tcW w:w="400" w:type="dxa"/>
            <w:vAlign w:val="bottom"/>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243,067</w:t>
            </w:r>
          </w:p>
        </w:tc>
        <w:tc>
          <w:tcPr>
            <w:tcW w:w="12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72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243,067</w:t>
            </w:r>
          </w:p>
        </w:tc>
        <w:tc>
          <w:tcPr>
            <w:tcW w:w="120" w:type="dxa"/>
            <w:vAlign w:val="bottom"/>
          </w:tcPr>
          <w:p>
            <w:pPr>
              <w:spacing w:after="0"/>
              <w:rPr>
                <w:sz w:val="18"/>
                <w:szCs w:val="18"/>
                <w:color w:val="auto"/>
              </w:rPr>
            </w:pPr>
          </w:p>
        </w:tc>
        <w:tc>
          <w:tcPr>
            <w:tcW w:w="420" w:type="dxa"/>
            <w:vAlign w:val="bottom"/>
          </w:tcPr>
          <w:p>
            <w:pPr>
              <w:jc w:val="right"/>
              <w:ind w:right="239"/>
              <w:spacing w:after="0"/>
              <w:rPr>
                <w:sz w:val="20"/>
                <w:szCs w:val="20"/>
                <w:color w:val="auto"/>
              </w:rPr>
            </w:pPr>
            <w:r>
              <w:rPr>
                <w:rFonts w:ascii="Times New Roman" w:cs="Times New Roman" w:eastAsia="Times New Roman" w:hAnsi="Times New Roman"/>
                <w:sz w:val="16"/>
                <w:szCs w:val="16"/>
                <w:color w:val="auto"/>
                <w:w w:val="99"/>
              </w:rPr>
              <w:t>$</w:t>
            </w:r>
          </w:p>
        </w:tc>
        <w:tc>
          <w:tcPr>
            <w:tcW w:w="1440" w:type="dxa"/>
            <w:vAlign w:val="bottom"/>
            <w:gridSpan w:val="2"/>
          </w:tcPr>
          <w:p>
            <w:pPr>
              <w:ind w:left="108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tcPr>
          <w:p>
            <w:pPr>
              <w:ind w:left="116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6"/>
        </w:trPr>
        <w:tc>
          <w:tcPr>
            <w:tcW w:w="2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Equity securities</w:t>
            </w:r>
          </w:p>
        </w:tc>
        <w:tc>
          <w:tcPr>
            <w:tcW w:w="40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262,784</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40,508</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222,276</w:t>
            </w: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ind w:left="108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shd w:val="clear" w:color="auto" w:fill="CCEEFF"/>
          </w:tcPr>
          <w:p>
            <w:pPr>
              <w:spacing w:after="0"/>
              <w:rPr>
                <w:sz w:val="18"/>
                <w:szCs w:val="18"/>
                <w:color w:val="auto"/>
              </w:rPr>
            </w:pPr>
          </w:p>
        </w:tc>
        <w:tc>
          <w:tcPr>
            <w:tcW w:w="1380" w:type="dxa"/>
            <w:vAlign w:val="bottom"/>
            <w:shd w:val="clear" w:color="auto" w:fill="CCEEFF"/>
          </w:tcPr>
          <w:p>
            <w:pPr>
              <w:ind w:left="116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308"/>
        </w:trPr>
        <w:tc>
          <w:tcPr>
            <w:tcW w:w="210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December 31, 2025</w:t>
            </w:r>
          </w:p>
        </w:tc>
        <w:tc>
          <w:tcPr>
            <w:tcW w:w="4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9"/>
        </w:trPr>
        <w:tc>
          <w:tcPr>
            <w:tcW w:w="2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40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100" w:type="dxa"/>
            <w:vAlign w:val="bottom"/>
          </w:tcPr>
          <w:p>
            <w:pPr>
              <w:ind w:left="20"/>
              <w:spacing w:after="0" w:line="216" w:lineRule="exact"/>
              <w:rPr>
                <w:sz w:val="20"/>
                <w:szCs w:val="20"/>
                <w:color w:val="auto"/>
              </w:rPr>
            </w:pPr>
            <w:r>
              <w:rPr>
                <w:rFonts w:ascii="Times New Roman" w:cs="Times New Roman" w:eastAsia="Times New Roman" w:hAnsi="Times New Roman"/>
                <w:sz w:val="16"/>
                <w:szCs w:val="16"/>
                <w:color w:val="auto"/>
              </w:rPr>
              <w:t xml:space="preserve">Money market funds </w:t>
            </w:r>
            <w:r>
              <w:rPr>
                <w:rFonts w:ascii="Times New Roman" w:cs="Times New Roman" w:eastAsia="Times New Roman" w:hAnsi="Times New Roman"/>
                <w:sz w:val="21"/>
                <w:szCs w:val="21"/>
                <w:color w:val="auto"/>
                <w:vertAlign w:val="superscript"/>
              </w:rPr>
              <w:t>(1)</w:t>
            </w:r>
          </w:p>
        </w:tc>
        <w:tc>
          <w:tcPr>
            <w:tcW w:w="400" w:type="dxa"/>
            <w:vAlign w:val="bottom"/>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166,510</w:t>
            </w:r>
          </w:p>
        </w:tc>
        <w:tc>
          <w:tcPr>
            <w:tcW w:w="12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72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166,510</w:t>
            </w:r>
          </w:p>
        </w:tc>
        <w:tc>
          <w:tcPr>
            <w:tcW w:w="120" w:type="dxa"/>
            <w:vAlign w:val="bottom"/>
          </w:tcPr>
          <w:p>
            <w:pPr>
              <w:spacing w:after="0"/>
              <w:rPr>
                <w:sz w:val="18"/>
                <w:szCs w:val="18"/>
                <w:color w:val="auto"/>
              </w:rPr>
            </w:pPr>
          </w:p>
        </w:tc>
        <w:tc>
          <w:tcPr>
            <w:tcW w:w="420" w:type="dxa"/>
            <w:vAlign w:val="bottom"/>
          </w:tcPr>
          <w:p>
            <w:pPr>
              <w:jc w:val="right"/>
              <w:ind w:right="239"/>
              <w:spacing w:after="0"/>
              <w:rPr>
                <w:sz w:val="20"/>
                <w:szCs w:val="20"/>
                <w:color w:val="auto"/>
              </w:rPr>
            </w:pPr>
            <w:r>
              <w:rPr>
                <w:rFonts w:ascii="Times New Roman" w:cs="Times New Roman" w:eastAsia="Times New Roman" w:hAnsi="Times New Roman"/>
                <w:sz w:val="16"/>
                <w:szCs w:val="16"/>
                <w:color w:val="auto"/>
                <w:w w:val="99"/>
              </w:rPr>
              <w:t>$</w:t>
            </w:r>
          </w:p>
        </w:tc>
        <w:tc>
          <w:tcPr>
            <w:tcW w:w="1440" w:type="dxa"/>
            <w:vAlign w:val="bottom"/>
            <w:gridSpan w:val="2"/>
          </w:tcPr>
          <w:p>
            <w:pPr>
              <w:ind w:left="108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tcPr>
          <w:p>
            <w:pPr>
              <w:ind w:left="116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0"/>
        </w:trPr>
        <w:tc>
          <w:tcPr>
            <w:tcW w:w="21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Equity securities</w:t>
            </w:r>
          </w:p>
        </w:tc>
        <w:tc>
          <w:tcPr>
            <w:tcW w:w="4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228,044</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20,717</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207,327</w:t>
            </w: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40" w:type="dxa"/>
            <w:vAlign w:val="bottom"/>
            <w:gridSpan w:val="2"/>
          </w:tcPr>
          <w:p>
            <w:pPr>
              <w:ind w:left="108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spacing w:after="0"/>
              <w:rPr>
                <w:sz w:val="18"/>
                <w:szCs w:val="18"/>
                <w:color w:val="auto"/>
              </w:rPr>
            </w:pPr>
          </w:p>
        </w:tc>
        <w:tc>
          <w:tcPr>
            <w:tcW w:w="1380" w:type="dxa"/>
            <w:vAlign w:val="bottom"/>
          </w:tcPr>
          <w:p>
            <w:pPr>
              <w:ind w:left="116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-132715</wp:posOffset>
            </wp:positionV>
            <wp:extent cx="7132320" cy="13716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ind w:left="180" w:hanging="154"/>
        <w:spacing w:after="0" w:line="203" w:lineRule="auto"/>
        <w:tabs>
          <w:tab w:leader="none" w:pos="180" w:val="left"/>
        </w:tabs>
        <w:numPr>
          <w:ilvl w:val="0"/>
          <w:numId w:val="6"/>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Money market funds are included within the cash and cash equivalents line on the unaudited condensed consolidated statements of financial condition.</w:t>
      </w:r>
    </w:p>
    <w:p>
      <w:pPr>
        <w:spacing w:after="0" w:line="199" w:lineRule="exact"/>
        <w:rPr>
          <w:sz w:val="20"/>
          <w:szCs w:val="20"/>
          <w:color w:val="auto"/>
        </w:rPr>
      </w:pPr>
    </w:p>
    <w:p>
      <w:pPr>
        <w:jc w:val="both"/>
        <w:ind w:right="160"/>
        <w:spacing w:after="0" w:line="269" w:lineRule="auto"/>
        <w:rPr>
          <w:sz w:val="20"/>
          <w:szCs w:val="20"/>
          <w:color w:val="auto"/>
        </w:rPr>
      </w:pPr>
      <w:r>
        <w:rPr>
          <w:rFonts w:ascii="Times New Roman" w:cs="Times New Roman" w:eastAsia="Times New Roman" w:hAnsi="Times New Roman"/>
          <w:sz w:val="16"/>
          <w:szCs w:val="16"/>
          <w:color w:val="auto"/>
        </w:rPr>
        <w:t>Fair values determined based on Level 1 inputs utilize quoted market prices for identical assets. Level 1 assets generally consist of money market funds, open-end mutual funds and UCITS funds. Equity securities without a fair value level consist of the Company’s investments in Artisan Private Funds, which are measured at the underlying fund’s net asset value (“NAV”), using the ASC 820 practical expedient. The NAV is provided by the fund and is derived from the fair values of the underlying investments as of the reporting date. Cash maintained in demand deposit accounts is excluded from the table above.</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Nonrecurring Fair Value Measurements</w:t>
      </w:r>
    </w:p>
    <w:p>
      <w:pPr>
        <w:spacing w:after="0" w:line="115"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6"/>
          <w:szCs w:val="16"/>
          <w:color w:val="auto"/>
        </w:rPr>
        <w:t>Nonrecurring fair value measurements consist of goodwill, intangible assets and the contingent consideration liability for the Grandview acquisition, which were $40.3 million, $8.2 million and $25.9 million, respectively. Artisan measured the fair value of goodwill and intangible assets on initial recognition based on the present value of estimated future cash flows. Significant assumptions used to determine the estimated fair value include revenue, discount rates and expenses. The Company measured the fair value of contingent consideration liability on initial recognition using a Monte Carlo simulation model where committed capital milestones and revenue run rates need to be achieved before contingent payments are earned. The model considers assumptions regarding projected capital commitments and their timing to simulate a range of outcomes which are then discounted. Because of the significance of the unobservable inputs in the fair value measurements of these assets and liabilities, such measurements are classified as Level 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420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Note 6. Borrowings</w:t>
            </w:r>
          </w:p>
        </w:tc>
        <w:tc>
          <w:tcPr>
            <w:tcW w:w="1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97"/>
        </w:trPr>
        <w:tc>
          <w:tcPr>
            <w:tcW w:w="6540" w:type="dxa"/>
            <w:vAlign w:val="bottom"/>
            <w:gridSpan w:val="4"/>
          </w:tcPr>
          <w:p>
            <w:pPr>
              <w:spacing w:after="0"/>
              <w:rPr>
                <w:sz w:val="20"/>
                <w:szCs w:val="20"/>
                <w:color w:val="auto"/>
              </w:rPr>
            </w:pPr>
            <w:r>
              <w:rPr>
                <w:rFonts w:ascii="Times New Roman" w:cs="Times New Roman" w:eastAsia="Times New Roman" w:hAnsi="Times New Roman"/>
                <w:sz w:val="16"/>
                <w:szCs w:val="16"/>
                <w:color w:val="auto"/>
              </w:rPr>
              <w:t>Artisan’s borrowings consist of the following as of March 31, 2026 and December 31, 2025:</w:t>
            </w: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5"/>
        </w:trPr>
        <w:tc>
          <w:tcPr>
            <w:tcW w:w="4200" w:type="dxa"/>
            <w:vAlign w:val="bottom"/>
          </w:tcPr>
          <w:p>
            <w:pPr>
              <w:spacing w:after="0"/>
              <w:rPr>
                <w:sz w:val="16"/>
                <w:szCs w:val="16"/>
                <w:color w:val="auto"/>
              </w:rPr>
            </w:pPr>
          </w:p>
        </w:tc>
        <w:tc>
          <w:tcPr>
            <w:tcW w:w="1760" w:type="dxa"/>
            <w:vAlign w:val="bottom"/>
            <w:gridSpan w:val="2"/>
            <w:vMerge w:val="restart"/>
          </w:tcPr>
          <w:p>
            <w:pPr>
              <w:ind w:left="420"/>
              <w:spacing w:after="0"/>
              <w:rPr>
                <w:sz w:val="20"/>
                <w:szCs w:val="20"/>
                <w:color w:val="auto"/>
              </w:rPr>
            </w:pPr>
            <w:r>
              <w:rPr>
                <w:rFonts w:ascii="Times New Roman" w:cs="Times New Roman" w:eastAsia="Times New Roman" w:hAnsi="Times New Roman"/>
                <w:sz w:val="16"/>
                <w:szCs w:val="16"/>
                <w:b w:val="1"/>
                <w:bCs w:val="1"/>
                <w:color w:val="auto"/>
              </w:rPr>
              <w:t xml:space="preserve">Maturity </w:t>
            </w:r>
            <w:r>
              <w:rPr>
                <w:rFonts w:ascii="Times New Roman" w:cs="Times New Roman" w:eastAsia="Times New Roman" w:hAnsi="Times New Roman"/>
                <w:sz w:val="21"/>
                <w:szCs w:val="21"/>
                <w:b w:val="1"/>
                <w:bCs w:val="1"/>
                <w:color w:val="auto"/>
                <w:vertAlign w:val="superscript"/>
              </w:rPr>
              <w:t>(1)</w:t>
            </w:r>
          </w:p>
        </w:tc>
        <w:tc>
          <w:tcPr>
            <w:tcW w:w="1760" w:type="dxa"/>
            <w:vAlign w:val="bottom"/>
            <w:gridSpan w:val="3"/>
            <w:vMerge w:val="restart"/>
          </w:tcPr>
          <w:p>
            <w:pPr>
              <w:ind w:left="80"/>
              <w:spacing w:after="0"/>
              <w:rPr>
                <w:sz w:val="20"/>
                <w:szCs w:val="20"/>
                <w:color w:val="auto"/>
              </w:rPr>
            </w:pPr>
            <w:r>
              <w:rPr>
                <w:rFonts w:ascii="Times New Roman" w:cs="Times New Roman" w:eastAsia="Times New Roman" w:hAnsi="Times New Roman"/>
                <w:sz w:val="16"/>
                <w:szCs w:val="16"/>
                <w:b w:val="1"/>
                <w:bCs w:val="1"/>
                <w:color w:val="auto"/>
              </w:rPr>
              <w:t>As of March 31, 2026</w:t>
            </w:r>
          </w:p>
        </w:tc>
        <w:tc>
          <w:tcPr>
            <w:tcW w:w="120" w:type="dxa"/>
            <w:vAlign w:val="bottom"/>
          </w:tcPr>
          <w:p>
            <w:pPr>
              <w:spacing w:after="0"/>
              <w:rPr>
                <w:sz w:val="16"/>
                <w:szCs w:val="16"/>
                <w:color w:val="auto"/>
              </w:rPr>
            </w:pPr>
          </w:p>
        </w:tc>
        <w:tc>
          <w:tcPr>
            <w:tcW w:w="1500" w:type="dxa"/>
            <w:vAlign w:val="bottom"/>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As of December 31,</w:t>
            </w:r>
          </w:p>
        </w:tc>
        <w:tc>
          <w:tcPr>
            <w:tcW w:w="140" w:type="dxa"/>
            <w:vAlign w:val="bottom"/>
          </w:tcPr>
          <w:p>
            <w:pPr>
              <w:spacing w:after="0"/>
              <w:rPr>
                <w:sz w:val="16"/>
                <w:szCs w:val="16"/>
                <w:color w:val="auto"/>
              </w:rPr>
            </w:pPr>
          </w:p>
        </w:tc>
        <w:tc>
          <w:tcPr>
            <w:tcW w:w="1760" w:type="dxa"/>
            <w:vAlign w:val="bottom"/>
          </w:tcPr>
          <w:p>
            <w:pPr>
              <w:jc w:val="right"/>
              <w:ind w:right="219"/>
              <w:spacing w:after="0"/>
              <w:rPr>
                <w:sz w:val="20"/>
                <w:szCs w:val="20"/>
                <w:color w:val="auto"/>
              </w:rPr>
            </w:pPr>
            <w:r>
              <w:rPr>
                <w:rFonts w:ascii="Times New Roman" w:cs="Times New Roman" w:eastAsia="Times New Roman" w:hAnsi="Times New Roman"/>
                <w:sz w:val="16"/>
                <w:szCs w:val="16"/>
                <w:b w:val="1"/>
                <w:bCs w:val="1"/>
                <w:color w:val="auto"/>
              </w:rPr>
              <w:t>Interest Rate Per</w:t>
            </w:r>
          </w:p>
        </w:tc>
        <w:tc>
          <w:tcPr>
            <w:tcW w:w="0" w:type="dxa"/>
            <w:vAlign w:val="bottom"/>
          </w:tcPr>
          <w:p>
            <w:pPr>
              <w:spacing w:after="0"/>
              <w:rPr>
                <w:sz w:val="1"/>
                <w:szCs w:val="1"/>
                <w:color w:val="auto"/>
              </w:rPr>
            </w:pPr>
          </w:p>
        </w:tc>
      </w:tr>
      <w:tr>
        <w:trPr>
          <w:trHeight w:val="216"/>
        </w:trPr>
        <w:tc>
          <w:tcPr>
            <w:tcW w:w="4200" w:type="dxa"/>
            <w:vAlign w:val="bottom"/>
          </w:tcPr>
          <w:p>
            <w:pPr>
              <w:spacing w:after="0"/>
              <w:rPr>
                <w:sz w:val="18"/>
                <w:szCs w:val="18"/>
                <w:color w:val="auto"/>
              </w:rPr>
            </w:pPr>
          </w:p>
        </w:tc>
        <w:tc>
          <w:tcPr>
            <w:tcW w:w="1760" w:type="dxa"/>
            <w:vAlign w:val="bottom"/>
            <w:gridSpan w:val="2"/>
            <w:vMerge w:val="continue"/>
          </w:tcPr>
          <w:p>
            <w:pPr>
              <w:spacing w:after="0"/>
              <w:rPr>
                <w:sz w:val="18"/>
                <w:szCs w:val="18"/>
                <w:color w:val="auto"/>
              </w:rPr>
            </w:pPr>
          </w:p>
        </w:tc>
        <w:tc>
          <w:tcPr>
            <w:tcW w:w="1760" w:type="dxa"/>
            <w:vAlign w:val="bottom"/>
            <w:gridSpan w:val="3"/>
            <w:vMerge w:val="continue"/>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tcPr>
          <w:p>
            <w:pPr>
              <w:jc w:val="right"/>
              <w:ind w:right="559"/>
              <w:spacing w:after="0"/>
              <w:rPr>
                <w:sz w:val="20"/>
                <w:szCs w:val="20"/>
                <w:color w:val="auto"/>
              </w:rPr>
            </w:pPr>
            <w:r>
              <w:rPr>
                <w:rFonts w:ascii="Times New Roman" w:cs="Times New Roman" w:eastAsia="Times New Roman" w:hAnsi="Times New Roman"/>
                <w:sz w:val="16"/>
                <w:szCs w:val="16"/>
                <w:b w:val="1"/>
                <w:bCs w:val="1"/>
                <w:color w:val="auto"/>
              </w:rPr>
              <w:t>2025</w:t>
            </w:r>
          </w:p>
        </w:tc>
        <w:tc>
          <w:tcPr>
            <w:tcW w:w="140" w:type="dxa"/>
            <w:vAlign w:val="bottom"/>
          </w:tcPr>
          <w:p>
            <w:pPr>
              <w:spacing w:after="0"/>
              <w:rPr>
                <w:sz w:val="18"/>
                <w:szCs w:val="18"/>
                <w:color w:val="auto"/>
              </w:rPr>
            </w:pPr>
          </w:p>
        </w:tc>
        <w:tc>
          <w:tcPr>
            <w:tcW w:w="1760" w:type="dxa"/>
            <w:vAlign w:val="bottom"/>
          </w:tcPr>
          <w:p>
            <w:pPr>
              <w:jc w:val="right"/>
              <w:ind w:right="539"/>
              <w:spacing w:after="0"/>
              <w:rPr>
                <w:sz w:val="20"/>
                <w:szCs w:val="20"/>
                <w:color w:val="auto"/>
              </w:rPr>
            </w:pPr>
            <w:r>
              <w:rPr>
                <w:rFonts w:ascii="Times New Roman" w:cs="Times New Roman" w:eastAsia="Times New Roman" w:hAnsi="Times New Roman"/>
                <w:sz w:val="16"/>
                <w:szCs w:val="16"/>
                <w:b w:val="1"/>
                <w:bCs w:val="1"/>
                <w:color w:val="auto"/>
              </w:rPr>
              <w:t>Annum</w:t>
            </w:r>
          </w:p>
        </w:tc>
        <w:tc>
          <w:tcPr>
            <w:tcW w:w="0" w:type="dxa"/>
            <w:vAlign w:val="bottom"/>
          </w:tcPr>
          <w:p>
            <w:pPr>
              <w:spacing w:after="0"/>
              <w:rPr>
                <w:sz w:val="1"/>
                <w:szCs w:val="1"/>
                <w:color w:val="auto"/>
              </w:rPr>
            </w:pPr>
          </w:p>
        </w:tc>
      </w:tr>
      <w:tr>
        <w:trPr>
          <w:trHeight w:val="210"/>
        </w:trPr>
        <w:tc>
          <w:tcPr>
            <w:tcW w:w="42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Revolving credit agreement</w:t>
            </w:r>
          </w:p>
        </w:tc>
        <w:tc>
          <w:tcPr>
            <w:tcW w:w="1640" w:type="dxa"/>
            <w:vAlign w:val="bottom"/>
            <w:tcBorders>
              <w:top w:val="single" w:sz="8" w:color="auto"/>
            </w:tcBorders>
            <w:shd w:val="clear" w:color="auto" w:fill="CCEEFF"/>
          </w:tcPr>
          <w:p>
            <w:pPr>
              <w:ind w:left="400"/>
              <w:spacing w:after="0"/>
              <w:rPr>
                <w:sz w:val="20"/>
                <w:szCs w:val="20"/>
                <w:color w:val="auto"/>
              </w:rPr>
            </w:pPr>
            <w:r>
              <w:rPr>
                <w:rFonts w:ascii="Times New Roman" w:cs="Times New Roman" w:eastAsia="Times New Roman" w:hAnsi="Times New Roman"/>
                <w:sz w:val="16"/>
                <w:szCs w:val="16"/>
                <w:color w:val="auto"/>
              </w:rPr>
              <w:t>August 2027</w:t>
            </w:r>
          </w:p>
        </w:tc>
        <w:tc>
          <w:tcPr>
            <w:tcW w:w="12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ind w:right="39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top w:val="single" w:sz="8" w:color="CCEEFF"/>
            </w:tcBorders>
            <w:shd w:val="clear" w:color="auto" w:fill="CCEEFF"/>
          </w:tcPr>
          <w:p>
            <w:pPr>
              <w:spacing w:after="0"/>
              <w:rPr>
                <w:sz w:val="18"/>
                <w:szCs w:val="18"/>
                <w:color w:val="auto"/>
              </w:rPr>
            </w:pPr>
          </w:p>
        </w:tc>
        <w:tc>
          <w:tcPr>
            <w:tcW w:w="1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NA</w:t>
            </w:r>
          </w:p>
        </w:tc>
        <w:tc>
          <w:tcPr>
            <w:tcW w:w="0" w:type="dxa"/>
            <w:vAlign w:val="bottom"/>
          </w:tcPr>
          <w:p>
            <w:pPr>
              <w:spacing w:after="0"/>
              <w:rPr>
                <w:sz w:val="1"/>
                <w:szCs w:val="1"/>
                <w:color w:val="auto"/>
              </w:rPr>
            </w:pPr>
          </w:p>
        </w:tc>
      </w:tr>
      <w:tr>
        <w:trPr>
          <w:trHeight w:val="213"/>
        </w:trPr>
        <w:tc>
          <w:tcPr>
            <w:tcW w:w="42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Senior notes</w:t>
            </w:r>
          </w:p>
        </w:tc>
        <w:tc>
          <w:tcPr>
            <w:tcW w:w="1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2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Series E</w:t>
            </w:r>
          </w:p>
        </w:tc>
        <w:tc>
          <w:tcPr>
            <w:tcW w:w="176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6"/>
                <w:szCs w:val="16"/>
                <w:color w:val="auto"/>
              </w:rPr>
              <w:t>August 2027</w:t>
            </w:r>
          </w:p>
        </w:tc>
        <w:tc>
          <w:tcPr>
            <w:tcW w:w="5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50,000</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50,000</w:t>
            </w:r>
          </w:p>
        </w:tc>
        <w:tc>
          <w:tcPr>
            <w:tcW w:w="1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4.53 %</w:t>
            </w:r>
          </w:p>
        </w:tc>
        <w:tc>
          <w:tcPr>
            <w:tcW w:w="0" w:type="dxa"/>
            <w:vAlign w:val="bottom"/>
          </w:tcPr>
          <w:p>
            <w:pPr>
              <w:spacing w:after="0"/>
              <w:rPr>
                <w:sz w:val="1"/>
                <w:szCs w:val="1"/>
                <w:color w:val="auto"/>
              </w:rPr>
            </w:pPr>
          </w:p>
        </w:tc>
      </w:tr>
      <w:tr>
        <w:trPr>
          <w:trHeight w:val="213"/>
        </w:trPr>
        <w:tc>
          <w:tcPr>
            <w:tcW w:w="420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Series F</w:t>
            </w:r>
          </w:p>
        </w:tc>
        <w:tc>
          <w:tcPr>
            <w:tcW w:w="1760" w:type="dxa"/>
            <w:vAlign w:val="bottom"/>
            <w:gridSpan w:val="2"/>
          </w:tcPr>
          <w:p>
            <w:pPr>
              <w:ind w:left="400"/>
              <w:spacing w:after="0"/>
              <w:rPr>
                <w:sz w:val="20"/>
                <w:szCs w:val="20"/>
                <w:color w:val="auto"/>
              </w:rPr>
            </w:pPr>
            <w:r>
              <w:rPr>
                <w:rFonts w:ascii="Times New Roman" w:cs="Times New Roman" w:eastAsia="Times New Roman" w:hAnsi="Times New Roman"/>
                <w:sz w:val="16"/>
                <w:szCs w:val="16"/>
                <w:color w:val="auto"/>
              </w:rPr>
              <w:t>August 2032</w:t>
            </w:r>
          </w:p>
        </w:tc>
        <w:tc>
          <w:tcPr>
            <w:tcW w:w="5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90,000</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90,000</w:t>
            </w:r>
          </w:p>
        </w:tc>
        <w:tc>
          <w:tcPr>
            <w:tcW w:w="19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3.10 %</w:t>
            </w:r>
          </w:p>
        </w:tc>
        <w:tc>
          <w:tcPr>
            <w:tcW w:w="0" w:type="dxa"/>
            <w:vAlign w:val="bottom"/>
          </w:tcPr>
          <w:p>
            <w:pPr>
              <w:spacing w:after="0"/>
              <w:rPr>
                <w:sz w:val="1"/>
                <w:szCs w:val="1"/>
                <w:color w:val="auto"/>
              </w:rPr>
            </w:pPr>
          </w:p>
        </w:tc>
      </w:tr>
      <w:tr>
        <w:trPr>
          <w:trHeight w:val="219"/>
        </w:trPr>
        <w:tc>
          <w:tcPr>
            <w:tcW w:w="42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Series G</w:t>
            </w:r>
          </w:p>
        </w:tc>
        <w:tc>
          <w:tcPr>
            <w:tcW w:w="176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6"/>
                <w:szCs w:val="16"/>
                <w:color w:val="auto"/>
              </w:rPr>
              <w:t>August 2030</w:t>
            </w:r>
          </w:p>
        </w:tc>
        <w:tc>
          <w:tcPr>
            <w:tcW w:w="58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50,000</w:t>
            </w:r>
          </w:p>
        </w:tc>
        <w:tc>
          <w:tcPr>
            <w:tcW w:w="1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50,000</w:t>
            </w:r>
          </w:p>
        </w:tc>
        <w:tc>
          <w:tcPr>
            <w:tcW w:w="1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5.43 %</w:t>
            </w:r>
          </w:p>
        </w:tc>
        <w:tc>
          <w:tcPr>
            <w:tcW w:w="0" w:type="dxa"/>
            <w:vAlign w:val="bottom"/>
          </w:tcPr>
          <w:p>
            <w:pPr>
              <w:spacing w:after="0"/>
              <w:rPr>
                <w:sz w:val="1"/>
                <w:szCs w:val="1"/>
                <w:color w:val="auto"/>
              </w:rPr>
            </w:pPr>
          </w:p>
        </w:tc>
      </w:tr>
      <w:tr>
        <w:trPr>
          <w:trHeight w:val="208"/>
        </w:trPr>
        <w:tc>
          <w:tcPr>
            <w:tcW w:w="42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Total gross borrowings</w:t>
            </w:r>
          </w:p>
        </w:tc>
        <w:tc>
          <w:tcPr>
            <w:tcW w:w="164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190,000</w:t>
            </w: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190,000</w:t>
            </w:r>
          </w:p>
        </w:tc>
        <w:tc>
          <w:tcPr>
            <w:tcW w:w="140" w:type="dxa"/>
            <w:vAlign w:val="bottom"/>
            <w:tcBorders>
              <w:bottom w:val="single" w:sz="8" w:color="CCEEFF"/>
            </w:tcBorders>
          </w:tcPr>
          <w:p>
            <w:pPr>
              <w:spacing w:after="0"/>
              <w:rPr>
                <w:sz w:val="18"/>
                <w:szCs w:val="18"/>
                <w:color w:val="auto"/>
              </w:rPr>
            </w:pPr>
          </w:p>
        </w:tc>
        <w:tc>
          <w:tcPr>
            <w:tcW w:w="176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4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Debt issuance costs</w:t>
            </w:r>
          </w:p>
        </w:tc>
        <w:tc>
          <w:tcPr>
            <w:tcW w:w="1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(812)</w:t>
            </w:r>
          </w:p>
        </w:tc>
        <w:tc>
          <w:tcPr>
            <w:tcW w:w="1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(860)</w:t>
            </w:r>
          </w:p>
        </w:tc>
        <w:tc>
          <w:tcPr>
            <w:tcW w:w="14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1"/>
        </w:trPr>
        <w:tc>
          <w:tcPr>
            <w:tcW w:w="420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Total borrowings</w:t>
            </w:r>
          </w:p>
        </w:tc>
        <w:tc>
          <w:tcPr>
            <w:tcW w:w="16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80" w:type="dxa"/>
            <w:vAlign w:val="bottom"/>
          </w:tcPr>
          <w:p>
            <w:pPr>
              <w:jc w:val="right"/>
              <w:ind w:right="39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189,188</w:t>
            </w:r>
          </w:p>
        </w:tc>
        <w:tc>
          <w:tcPr>
            <w:tcW w:w="12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189,140</w:t>
            </w:r>
          </w:p>
        </w:tc>
        <w:tc>
          <w:tcPr>
            <w:tcW w:w="14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-12700</wp:posOffset>
            </wp:positionV>
            <wp:extent cx="215138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2151380" cy="8255"/>
                    </a:xfrm>
                    <a:prstGeom prst="rect">
                      <a:avLst/>
                    </a:prstGeom>
                    <a:noFill/>
                  </pic:spPr>
                </pic:pic>
              </a:graphicData>
            </a:graphic>
          </wp:anchor>
        </w:drawing>
      </w:r>
    </w:p>
    <w:p>
      <w:pPr>
        <w:ind w:left="180" w:hanging="154"/>
        <w:spacing w:after="0" w:line="203" w:lineRule="auto"/>
        <w:tabs>
          <w:tab w:leader="none" w:pos="180" w:val="left"/>
        </w:tabs>
        <w:numPr>
          <w:ilvl w:val="0"/>
          <w:numId w:val="7"/>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The Company is not required to make principal payments on any of the outstanding obligations prior to contractual maturity.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-104140</wp:posOffset>
            </wp:positionV>
            <wp:extent cx="215138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2151380" cy="8255"/>
                    </a:xfrm>
                    <a:prstGeom prst="rect">
                      <a:avLst/>
                    </a:prstGeom>
                    <a:noFill/>
                  </pic:spPr>
                </pic:pic>
              </a:graphicData>
            </a:graphic>
          </wp:anchor>
        </w:drawing>
      </w:r>
    </w:p>
    <w:p>
      <w:pPr>
        <w:spacing w:after="0" w:line="192" w:lineRule="exact"/>
        <w:rPr>
          <w:sz w:val="20"/>
          <w:szCs w:val="20"/>
          <w:color w:val="auto"/>
        </w:rPr>
      </w:pPr>
    </w:p>
    <w:p>
      <w:pPr>
        <w:ind w:right="180"/>
        <w:spacing w:after="0" w:line="281" w:lineRule="auto"/>
        <w:rPr>
          <w:sz w:val="20"/>
          <w:szCs w:val="20"/>
          <w:color w:val="auto"/>
        </w:rPr>
      </w:pPr>
      <w:r>
        <w:rPr>
          <w:rFonts w:ascii="Times New Roman" w:cs="Times New Roman" w:eastAsia="Times New Roman" w:hAnsi="Times New Roman"/>
          <w:sz w:val="16"/>
          <w:szCs w:val="16"/>
          <w:color w:val="auto"/>
        </w:rPr>
        <w:t>The fair value of borrowings was approximately $179.5 million and $180.3 million as of March 31, 2026 and December 31, 2025, respectively. Fair value was determined based on future cash flows, discounted to present value using current market interest rates. The inputs are categorized as Level 2 in the fair value hierarchy, as defined in Note 5, “Fair Value Measurements.”</w:t>
      </w:r>
    </w:p>
    <w:p>
      <w:pPr>
        <w:spacing w:after="0" w:line="56" w:lineRule="exact"/>
        <w:rPr>
          <w:sz w:val="20"/>
          <w:szCs w:val="20"/>
          <w:color w:val="auto"/>
        </w:rPr>
      </w:pPr>
    </w:p>
    <w:p>
      <w:pPr>
        <w:ind w:right="20"/>
        <w:spacing w:after="0" w:line="298" w:lineRule="auto"/>
        <w:rPr>
          <w:sz w:val="20"/>
          <w:szCs w:val="20"/>
          <w:color w:val="auto"/>
        </w:rPr>
      </w:pPr>
      <w:r>
        <w:rPr>
          <w:rFonts w:ascii="Times New Roman" w:cs="Times New Roman" w:eastAsia="Times New Roman" w:hAnsi="Times New Roman"/>
          <w:sz w:val="16"/>
          <w:szCs w:val="16"/>
          <w:color w:val="auto"/>
        </w:rPr>
        <w:t>The fixed interest rate on each series of unsecured notes is subject to a one percentage point increase in the event Holdings receives a below-investment grade rating and any such increase will continue to apply until an investment grade rating is received.</w:t>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As of March 31, 2026, there were no borrowings outstanding under the $100.0 million revolving credit facility and the interest rate on the unused commitment was 0.15%.</w:t>
      </w:r>
    </w:p>
    <w:p>
      <w:pPr>
        <w:spacing w:after="0" w:line="113" w:lineRule="exact"/>
        <w:rPr>
          <w:sz w:val="20"/>
          <w:szCs w:val="20"/>
          <w:color w:val="auto"/>
        </w:rPr>
      </w:pPr>
    </w:p>
    <w:p>
      <w:pPr>
        <w:ind w:right="260"/>
        <w:spacing w:after="0" w:line="298" w:lineRule="auto"/>
        <w:rPr>
          <w:sz w:val="20"/>
          <w:szCs w:val="20"/>
          <w:color w:val="auto"/>
        </w:rPr>
      </w:pPr>
      <w:r>
        <w:rPr>
          <w:rFonts w:ascii="Times New Roman" w:cs="Times New Roman" w:eastAsia="Times New Roman" w:hAnsi="Times New Roman"/>
          <w:sz w:val="16"/>
          <w:szCs w:val="16"/>
          <w:color w:val="auto"/>
        </w:rPr>
        <w:t>Interest expense incurred on the unsecured notes and revolving credit agreement was $2.0 million and $1.9 million for the three months ended March 31, 2026 and 2025, respectively.</w:t>
      </w:r>
    </w:p>
    <w:p>
      <w:pPr>
        <w:spacing w:after="0" w:line="4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Note 7. Variable Interest Entities and Consolidated Investment Products</w:t>
      </w:r>
    </w:p>
    <w:p>
      <w:pPr>
        <w:spacing w:after="0" w:line="129" w:lineRule="exact"/>
        <w:rPr>
          <w:sz w:val="20"/>
          <w:szCs w:val="20"/>
          <w:color w:val="auto"/>
        </w:rPr>
      </w:pPr>
    </w:p>
    <w:p>
      <w:pPr>
        <w:ind w:right="140"/>
        <w:spacing w:after="0" w:line="263" w:lineRule="auto"/>
        <w:rPr>
          <w:sz w:val="20"/>
          <w:szCs w:val="20"/>
          <w:color w:val="auto"/>
        </w:rPr>
      </w:pPr>
      <w:r>
        <w:rPr>
          <w:rFonts w:ascii="Times New Roman" w:cs="Times New Roman" w:eastAsia="Times New Roman" w:hAnsi="Times New Roman"/>
          <w:sz w:val="16"/>
          <w:szCs w:val="16"/>
          <w:color w:val="auto"/>
        </w:rPr>
        <w:t>Artisan serves as the investment adviser for various types of investment products, consisting of both VIEs and VOEs. Artisan consolidates an investment product if it has a controlling financial interest in the entity. See Note 2, ”Summary of Significant Accounting Policies.” Any such entities are collectively referred to herein as consolidated investment products or CIPs.</w:t>
      </w:r>
    </w:p>
    <w:p>
      <w:pPr>
        <w:spacing w:after="0" w:line="84" w:lineRule="exact"/>
        <w:rPr>
          <w:sz w:val="20"/>
          <w:szCs w:val="20"/>
          <w:color w:val="auto"/>
        </w:rPr>
      </w:pPr>
    </w:p>
    <w:p>
      <w:pPr>
        <w:ind w:right="100"/>
        <w:spacing w:after="0" w:line="272" w:lineRule="auto"/>
        <w:rPr>
          <w:sz w:val="20"/>
          <w:szCs w:val="20"/>
          <w:color w:val="auto"/>
        </w:rPr>
      </w:pPr>
      <w:r>
        <w:rPr>
          <w:rFonts w:ascii="Times New Roman" w:cs="Times New Roman" w:eastAsia="Times New Roman" w:hAnsi="Times New Roman"/>
          <w:sz w:val="16"/>
          <w:szCs w:val="16"/>
          <w:color w:val="auto"/>
        </w:rPr>
        <w:t>As of March 31, 2026, Artisan is considered to have a controlling financial interest in four sub-funds of Artisan Global Funds, three Artisan Private Funds and one series of Artisan Funds. The aggregate $102.1 million direct equity investment in the consolidated investment products consisted of $75.3 million related to seed investments and $26.8 million related to compensation plan investments.</w:t>
      </w:r>
    </w:p>
    <w:p>
      <w:pPr>
        <w:spacing w:after="0" w:line="63" w:lineRule="exact"/>
        <w:rPr>
          <w:sz w:val="20"/>
          <w:szCs w:val="20"/>
          <w:color w:val="auto"/>
        </w:rPr>
      </w:pPr>
    </w:p>
    <w:p>
      <w:pPr>
        <w:ind w:right="60"/>
        <w:spacing w:after="0" w:line="263" w:lineRule="auto"/>
        <w:rPr>
          <w:sz w:val="20"/>
          <w:szCs w:val="20"/>
          <w:color w:val="auto"/>
        </w:rPr>
      </w:pPr>
      <w:r>
        <w:rPr>
          <w:rFonts w:ascii="Times New Roman" w:cs="Times New Roman" w:eastAsia="Times New Roman" w:hAnsi="Times New Roman"/>
          <w:sz w:val="16"/>
          <w:szCs w:val="16"/>
          <w:color w:val="auto"/>
        </w:rPr>
        <w:t>Artisan’s maximum exposure to loss in connection with the assets and liabilities of CIPs is limited to its direct equity investment, while the potential benefit is limited to the management and performance fees received and the return on its equity investment. With the exception of Artisan’s direct equity investment, the assets of CIPs are not available to Artisan’s creditors, nor are they available to Artisan for general corporate purposes. In addition, third-party investors in the CIPs have no recourse to the general credit of the Company.</w:t>
      </w:r>
    </w:p>
    <w:p>
      <w:pPr>
        <w:spacing w:after="0" w:line="71" w:lineRule="exact"/>
        <w:rPr>
          <w:sz w:val="20"/>
          <w:szCs w:val="20"/>
          <w:color w:val="auto"/>
        </w:rPr>
      </w:pPr>
    </w:p>
    <w:p>
      <w:pPr>
        <w:ind w:right="60"/>
        <w:spacing w:after="0" w:line="298" w:lineRule="auto"/>
        <w:rPr>
          <w:sz w:val="20"/>
          <w:szCs w:val="20"/>
          <w:color w:val="auto"/>
        </w:rPr>
      </w:pPr>
      <w:r>
        <w:rPr>
          <w:rFonts w:ascii="Times New Roman" w:cs="Times New Roman" w:eastAsia="Times New Roman" w:hAnsi="Times New Roman"/>
          <w:sz w:val="16"/>
          <w:szCs w:val="16"/>
          <w:color w:val="auto"/>
        </w:rPr>
        <w:t>Management and performance fees earned from CIPs are eliminated from revenue upon consolidation. See Note 15, “Related Party Transactions” for additional information on management and performance fees earned from CIPs.</w:t>
      </w:r>
    </w:p>
    <w:p>
      <w:pPr>
        <w:spacing w:after="0" w:line="43" w:lineRule="exact"/>
        <w:rPr>
          <w:sz w:val="20"/>
          <w:szCs w:val="20"/>
          <w:color w:val="auto"/>
        </w:rPr>
      </w:pPr>
    </w:p>
    <w:p>
      <w:pPr>
        <w:ind w:right="340"/>
        <w:spacing w:after="0" w:line="272" w:lineRule="auto"/>
        <w:rPr>
          <w:sz w:val="20"/>
          <w:szCs w:val="20"/>
          <w:color w:val="auto"/>
        </w:rPr>
      </w:pPr>
      <w:r>
        <w:rPr>
          <w:rFonts w:ascii="Times New Roman" w:cs="Times New Roman" w:eastAsia="Times New Roman" w:hAnsi="Times New Roman"/>
          <w:sz w:val="16"/>
          <w:szCs w:val="16"/>
          <w:color w:val="auto"/>
        </w:rPr>
        <w:t>Third-party investors’ ownership interests in CIPs is presented as redeemable noncontrolling interests in the unaudited condensed consolidated statements of financial condition as third-party investors have the right to withdraw their capital, subject to certain conditions. Net income attributable to third-party investors is reported as net income (loss) attributable to noncontrolling interests - consolidated investment products in the unaudited consolidated statements of operations.</w:t>
      </w:r>
    </w:p>
    <w:p>
      <w:pPr>
        <w:spacing w:after="0" w:line="63" w:lineRule="exact"/>
        <w:rPr>
          <w:sz w:val="20"/>
          <w:szCs w:val="20"/>
          <w:color w:val="auto"/>
        </w:rPr>
      </w:pPr>
    </w:p>
    <w:p>
      <w:pPr>
        <w:ind w:right="40"/>
        <w:spacing w:after="0" w:line="260" w:lineRule="auto"/>
        <w:rPr>
          <w:sz w:val="20"/>
          <w:szCs w:val="20"/>
          <w:color w:val="auto"/>
        </w:rPr>
      </w:pPr>
      <w:r>
        <w:rPr>
          <w:rFonts w:ascii="Times New Roman" w:cs="Times New Roman" w:eastAsia="Times New Roman" w:hAnsi="Times New Roman"/>
          <w:sz w:val="16"/>
          <w:szCs w:val="16"/>
          <w:color w:val="auto"/>
        </w:rPr>
        <w:t>During the three months ended March 31, 2026, the Company determined that it no longer had a controlling financial interest in one Artisan Private Fund and one Artisan Global Fund as a result of third-party capital contributions and the Company’s redemption of a portion of its seed investment. Upon loss of control, the funds were deconsolidated and the related assets, liabilities and equity of the funds were derecognized from the Company’s unaudited condensed consolidated statements of financial condition. There was no net impact to the unaudited consolidated statement of operations for the three months ended March 31, 2026. Artisan generally does not recognize a gain or loss upon deconsolidation of investment products as the assets and liabilities of CIPs are carried at fair value. Artisan’s direct equity investment, which was $55.3 million at the time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deconsolidation, was reclassified from investment assets and investment liabilities of consolidated investment products to investment securities.</w:t>
      </w:r>
    </w:p>
    <w:p>
      <w:pPr>
        <w:spacing w:after="0" w:line="113" w:lineRule="exact"/>
        <w:rPr>
          <w:sz w:val="20"/>
          <w:szCs w:val="20"/>
          <w:color w:val="auto"/>
        </w:rPr>
      </w:pPr>
    </w:p>
    <w:p>
      <w:pPr>
        <w:ind w:right="300"/>
        <w:spacing w:after="0" w:line="269" w:lineRule="auto"/>
        <w:rPr>
          <w:sz w:val="20"/>
          <w:szCs w:val="20"/>
          <w:color w:val="auto"/>
        </w:rPr>
      </w:pPr>
      <w:r>
        <w:rPr>
          <w:rFonts w:ascii="Times New Roman" w:cs="Times New Roman" w:eastAsia="Times New Roman" w:hAnsi="Times New Roman"/>
          <w:sz w:val="16"/>
          <w:szCs w:val="16"/>
          <w:color w:val="auto"/>
        </w:rPr>
        <w:t>As of March 31, 2026, Artisan held direct equity investments of $51.7 million in VIEs for which the Company does not hold a controlling financial interest and are classified as investment securities in the Company's unaudited condensed statement of financial condition. These direct equity investments consisted of seed and compensation plan investments in sub-funds of Artisan Global Funds and Artisan Private Funds, both of which are accounted for under the equity method of accounting because Artisan has significant influence over the funds.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Fair Value Measurements - Consolidated Investment Products</w:t>
      </w:r>
    </w:p>
    <w:p>
      <w:pPr>
        <w:spacing w:after="0" w:line="115"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6"/>
          <w:szCs w:val="16"/>
          <w:color w:val="auto"/>
        </w:rPr>
        <w:t>Investments held by CIPs are reflected at fair value. Short and long positions on equity securities are valued based upon closing prices of the security on the exchange or market designated by the accounting agent or pricing vendor as the principal exchange. The closing price may represent last sale price, official closing price, a closing auction or other information depending on market convention. Short and long positions on fixed income instruments are valued at market value. Market values are generally evaluations based on prices provided by independent pricing vendors, which may consider, among other factors, the prices at which securities actually trade, broker-dealer quotations, pricing formulas, estimates of market values obtained from yield data relating to investments or securities with similar characteristics and/or discounted cash flow models that might be applicable. Short-term investments are comprised of repurchase agreements and U.S. Treasury obligations. Repurchase agreements are valued at cost plus accrued interest and U.S. Treasury obligations are valued using the same principles as fixed income securities. Derivative assets and liabilities are generally comprised of put and call options on securities and indices and forward foreign currency contracts. Put and call options are valued at the mid price (average of bid price and ask price) as provided by the pricing vendor at the close of trading on the contract’s principal exchange. Open forward foreign currency contracts are valued using the market spot rate.</w:t>
      </w:r>
    </w:p>
    <w:p>
      <w:pPr>
        <w:spacing w:after="0" w:line="27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following tables present the fair value hierarchy levels of assets and liabilities held by CIPs measured at fair value as of March 31, 2026 and December 31, 2025:</w:t>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20" w:type="dxa"/>
            <w:vAlign w:val="bottom"/>
          </w:tcPr>
          <w:p>
            <w:pPr>
              <w:spacing w:after="0"/>
              <w:rPr>
                <w:sz w:val="18"/>
                <w:szCs w:val="18"/>
                <w:color w:val="auto"/>
              </w:rPr>
            </w:pPr>
          </w:p>
        </w:tc>
        <w:tc>
          <w:tcPr>
            <w:tcW w:w="588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660" w:type="dxa"/>
            <w:vAlign w:val="bottom"/>
            <w:tcBorders>
              <w:bottom w:val="single" w:sz="8" w:color="auto"/>
            </w:tcBorders>
            <w:gridSpan w:val="8"/>
          </w:tcPr>
          <w:p>
            <w:pPr>
              <w:ind w:left="40"/>
              <w:spacing w:after="0"/>
              <w:rPr>
                <w:sz w:val="20"/>
                <w:szCs w:val="20"/>
                <w:color w:val="auto"/>
              </w:rPr>
            </w:pPr>
            <w:r>
              <w:rPr>
                <w:rFonts w:ascii="Times New Roman" w:cs="Times New Roman" w:eastAsia="Times New Roman" w:hAnsi="Times New Roman"/>
                <w:sz w:val="16"/>
                <w:szCs w:val="16"/>
                <w:b w:val="1"/>
                <w:bCs w:val="1"/>
                <w:color w:val="auto"/>
              </w:rPr>
              <w:t>Assets and Liabilities at Fair Value</w:t>
            </w:r>
          </w:p>
        </w:tc>
        <w:tc>
          <w:tcPr>
            <w:tcW w:w="2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r>
      <w:tr>
        <w:trPr>
          <w:trHeight w:val="211"/>
        </w:trPr>
        <w:tc>
          <w:tcPr>
            <w:tcW w:w="20" w:type="dxa"/>
            <w:vAlign w:val="bottom"/>
          </w:tcPr>
          <w:p>
            <w:pPr>
              <w:spacing w:after="0"/>
              <w:rPr>
                <w:sz w:val="18"/>
                <w:szCs w:val="18"/>
                <w:color w:val="auto"/>
              </w:rPr>
            </w:pPr>
          </w:p>
        </w:tc>
        <w:tc>
          <w:tcPr>
            <w:tcW w:w="5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gridSpan w:val="3"/>
          </w:tcPr>
          <w:p>
            <w:pPr>
              <w:ind w:left="18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220" w:type="dxa"/>
            <w:vAlign w:val="bottom"/>
          </w:tcPr>
          <w:p>
            <w:pPr>
              <w:spacing w:after="0"/>
              <w:rPr>
                <w:sz w:val="18"/>
                <w:szCs w:val="18"/>
                <w:color w:val="auto"/>
              </w:rPr>
            </w:pPr>
          </w:p>
        </w:tc>
        <w:tc>
          <w:tcPr>
            <w:tcW w:w="1100" w:type="dxa"/>
            <w:vAlign w:val="bottom"/>
            <w:gridSpan w:val="3"/>
          </w:tcPr>
          <w:p>
            <w:pPr>
              <w:ind w:left="120"/>
              <w:spacing w:after="0"/>
              <w:rPr>
                <w:sz w:val="20"/>
                <w:szCs w:val="20"/>
                <w:color w:val="auto"/>
              </w:rPr>
            </w:pPr>
            <w:r>
              <w:rPr>
                <w:rFonts w:ascii="Times New Roman" w:cs="Times New Roman" w:eastAsia="Times New Roman" w:hAnsi="Times New Roman"/>
                <w:sz w:val="16"/>
                <w:szCs w:val="16"/>
                <w:b w:val="1"/>
                <w:bCs w:val="1"/>
                <w:color w:val="auto"/>
              </w:rPr>
              <w:t>Level 1</w:t>
            </w:r>
          </w:p>
        </w:tc>
        <w:tc>
          <w:tcPr>
            <w:tcW w:w="240" w:type="dxa"/>
            <w:vAlign w:val="bottom"/>
          </w:tcPr>
          <w:p>
            <w:pPr>
              <w:spacing w:after="0"/>
              <w:rPr>
                <w:sz w:val="18"/>
                <w:szCs w:val="18"/>
                <w:color w:val="auto"/>
              </w:rPr>
            </w:pPr>
          </w:p>
        </w:tc>
        <w:tc>
          <w:tcPr>
            <w:tcW w:w="1100" w:type="dxa"/>
            <w:vAlign w:val="bottom"/>
            <w:gridSpan w:val="3"/>
          </w:tcPr>
          <w:p>
            <w:pPr>
              <w:ind w:left="120"/>
              <w:spacing w:after="0"/>
              <w:rPr>
                <w:sz w:val="20"/>
                <w:szCs w:val="20"/>
                <w:color w:val="auto"/>
              </w:rPr>
            </w:pPr>
            <w:r>
              <w:rPr>
                <w:rFonts w:ascii="Times New Roman" w:cs="Times New Roman" w:eastAsia="Times New Roman" w:hAnsi="Times New Roman"/>
                <w:sz w:val="16"/>
                <w:szCs w:val="16"/>
                <w:b w:val="1"/>
                <w:bCs w:val="1"/>
                <w:color w:val="auto"/>
              </w:rPr>
              <w:t>Level 2</w:t>
            </w:r>
          </w:p>
        </w:tc>
        <w:tc>
          <w:tcPr>
            <w:tcW w:w="240" w:type="dxa"/>
            <w:vAlign w:val="bottom"/>
          </w:tcPr>
          <w:p>
            <w:pPr>
              <w:spacing w:after="0"/>
              <w:rPr>
                <w:sz w:val="18"/>
                <w:szCs w:val="18"/>
                <w:color w:val="auto"/>
              </w:rPr>
            </w:pPr>
          </w:p>
        </w:tc>
        <w:tc>
          <w:tcPr>
            <w:tcW w:w="1000" w:type="dxa"/>
            <w:vAlign w:val="bottom"/>
          </w:tcPr>
          <w:p>
            <w:pPr>
              <w:jc w:val="right"/>
              <w:ind w:right="299"/>
              <w:spacing w:after="0"/>
              <w:rPr>
                <w:sz w:val="20"/>
                <w:szCs w:val="20"/>
                <w:color w:val="auto"/>
              </w:rPr>
            </w:pPr>
            <w:r>
              <w:rPr>
                <w:rFonts w:ascii="Times New Roman" w:cs="Times New Roman" w:eastAsia="Times New Roman" w:hAnsi="Times New Roman"/>
                <w:sz w:val="16"/>
                <w:szCs w:val="16"/>
                <w:b w:val="1"/>
                <w:bCs w:val="1"/>
                <w:color w:val="auto"/>
              </w:rPr>
              <w:t>Level 3</w:t>
            </w:r>
          </w:p>
        </w:tc>
      </w:tr>
      <w:tr>
        <w:trPr>
          <w:trHeight w:val="198"/>
        </w:trPr>
        <w:tc>
          <w:tcPr>
            <w:tcW w:w="20" w:type="dxa"/>
            <w:vAlign w:val="bottom"/>
            <w:tcBorders>
              <w:top w:val="single" w:sz="8" w:color="CCEEFF"/>
            </w:tcBorders>
            <w:shd w:val="clear" w:color="auto" w:fill="CCEEFF"/>
          </w:tcPr>
          <w:p>
            <w:pPr>
              <w:spacing w:after="0"/>
              <w:rPr>
                <w:sz w:val="17"/>
                <w:szCs w:val="17"/>
                <w:color w:val="auto"/>
              </w:rPr>
            </w:pPr>
          </w:p>
        </w:tc>
        <w:tc>
          <w:tcPr>
            <w:tcW w:w="58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March 31, 2026</w:t>
            </w:r>
          </w:p>
        </w:tc>
        <w:tc>
          <w:tcPr>
            <w:tcW w:w="2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r>
      <w:tr>
        <w:trPr>
          <w:trHeight w:val="214"/>
        </w:trPr>
        <w:tc>
          <w:tcPr>
            <w:tcW w:w="20" w:type="dxa"/>
            <w:vAlign w:val="bottom"/>
          </w:tcPr>
          <w:p>
            <w:pPr>
              <w:spacing w:after="0"/>
              <w:rPr>
                <w:sz w:val="18"/>
                <w:szCs w:val="18"/>
                <w:color w:val="auto"/>
              </w:rPr>
            </w:pPr>
          </w:p>
        </w:tc>
        <w:tc>
          <w:tcPr>
            <w:tcW w:w="588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18"/>
        </w:trPr>
        <w:tc>
          <w:tcPr>
            <w:tcW w:w="20" w:type="dxa"/>
            <w:vAlign w:val="bottom"/>
            <w:shd w:val="clear" w:color="auto" w:fill="CCEEFF"/>
          </w:tcPr>
          <w:p>
            <w:pPr>
              <w:spacing w:after="0"/>
              <w:rPr>
                <w:sz w:val="18"/>
                <w:szCs w:val="18"/>
                <w:color w:val="auto"/>
              </w:rPr>
            </w:pPr>
          </w:p>
        </w:tc>
        <w:tc>
          <w:tcPr>
            <w:tcW w:w="58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Money market funds</w:t>
            </w:r>
          </w:p>
        </w:tc>
        <w:tc>
          <w:tcPr>
            <w:tcW w:w="3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9,651</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9,651</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3"/>
        </w:trPr>
        <w:tc>
          <w:tcPr>
            <w:tcW w:w="20" w:type="dxa"/>
            <w:vAlign w:val="bottom"/>
          </w:tcPr>
          <w:p>
            <w:pPr>
              <w:spacing w:after="0"/>
              <w:rPr>
                <w:sz w:val="18"/>
                <w:szCs w:val="18"/>
                <w:color w:val="auto"/>
              </w:rPr>
            </w:pPr>
          </w:p>
        </w:tc>
        <w:tc>
          <w:tcPr>
            <w:tcW w:w="5880" w:type="dxa"/>
            <w:vAlign w:val="bottom"/>
          </w:tcPr>
          <w:p>
            <w:pPr>
              <w:spacing w:after="0"/>
              <w:rPr>
                <w:sz w:val="20"/>
                <w:szCs w:val="20"/>
                <w:color w:val="auto"/>
              </w:rPr>
            </w:pPr>
            <w:r>
              <w:rPr>
                <w:rFonts w:ascii="Times New Roman" w:cs="Times New Roman" w:eastAsia="Times New Roman" w:hAnsi="Times New Roman"/>
                <w:sz w:val="16"/>
                <w:szCs w:val="16"/>
                <w:color w:val="auto"/>
              </w:rPr>
              <w:t>Equity securities - long position</w:t>
            </w: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46,097</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45,354</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743</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9"/>
        </w:trPr>
        <w:tc>
          <w:tcPr>
            <w:tcW w:w="20" w:type="dxa"/>
            <w:vAlign w:val="bottom"/>
            <w:shd w:val="clear" w:color="auto" w:fill="CCEEFF"/>
          </w:tcPr>
          <w:p>
            <w:pPr>
              <w:spacing w:after="0"/>
              <w:rPr>
                <w:sz w:val="19"/>
                <w:szCs w:val="19"/>
                <w:color w:val="auto"/>
              </w:rPr>
            </w:pPr>
          </w:p>
        </w:tc>
        <w:tc>
          <w:tcPr>
            <w:tcW w:w="58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Fixed income instruments - long position</w:t>
            </w:r>
          </w:p>
        </w:tc>
        <w:tc>
          <w:tcPr>
            <w:tcW w:w="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116,536</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113,131</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3,405</w:t>
            </w:r>
          </w:p>
        </w:tc>
      </w:tr>
      <w:tr>
        <w:trPr>
          <w:trHeight w:val="213"/>
        </w:trPr>
        <w:tc>
          <w:tcPr>
            <w:tcW w:w="20" w:type="dxa"/>
            <w:vAlign w:val="bottom"/>
          </w:tcPr>
          <w:p>
            <w:pPr>
              <w:spacing w:after="0"/>
              <w:rPr>
                <w:sz w:val="18"/>
                <w:szCs w:val="18"/>
                <w:color w:val="auto"/>
              </w:rPr>
            </w:pPr>
          </w:p>
        </w:tc>
        <w:tc>
          <w:tcPr>
            <w:tcW w:w="5880" w:type="dxa"/>
            <w:vAlign w:val="bottom"/>
          </w:tcPr>
          <w:p>
            <w:pPr>
              <w:spacing w:after="0"/>
              <w:rPr>
                <w:sz w:val="20"/>
                <w:szCs w:val="20"/>
                <w:color w:val="auto"/>
              </w:rPr>
            </w:pPr>
            <w:r>
              <w:rPr>
                <w:rFonts w:ascii="Times New Roman" w:cs="Times New Roman" w:eastAsia="Times New Roman" w:hAnsi="Times New Roman"/>
                <w:sz w:val="16"/>
                <w:szCs w:val="16"/>
                <w:color w:val="auto"/>
              </w:rPr>
              <w:t>Derivative assets</w:t>
            </w: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3,285</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97</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3,188</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59"/>
        </w:trPr>
        <w:tc>
          <w:tcPr>
            <w:tcW w:w="20" w:type="dxa"/>
            <w:vAlign w:val="bottom"/>
            <w:shd w:val="clear" w:color="auto" w:fill="CCEEFF"/>
          </w:tcPr>
          <w:p>
            <w:pPr>
              <w:spacing w:after="0"/>
              <w:rPr>
                <w:sz w:val="22"/>
                <w:szCs w:val="22"/>
                <w:color w:val="auto"/>
              </w:rPr>
            </w:pPr>
          </w:p>
        </w:tc>
        <w:tc>
          <w:tcPr>
            <w:tcW w:w="588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00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98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98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000" w:type="dxa"/>
            <w:vAlign w:val="bottom"/>
            <w:shd w:val="clear" w:color="auto" w:fill="CCEEFF"/>
          </w:tcPr>
          <w:p>
            <w:pPr>
              <w:spacing w:after="0"/>
              <w:rPr>
                <w:sz w:val="22"/>
                <w:szCs w:val="22"/>
                <w:color w:val="auto"/>
              </w:rPr>
            </w:pPr>
          </w:p>
        </w:tc>
      </w:tr>
      <w:tr>
        <w:trPr>
          <w:trHeight w:val="214"/>
        </w:trPr>
        <w:tc>
          <w:tcPr>
            <w:tcW w:w="20" w:type="dxa"/>
            <w:vAlign w:val="bottom"/>
          </w:tcPr>
          <w:p>
            <w:pPr>
              <w:spacing w:after="0"/>
              <w:rPr>
                <w:sz w:val="18"/>
                <w:szCs w:val="18"/>
                <w:color w:val="auto"/>
              </w:rPr>
            </w:pPr>
          </w:p>
        </w:tc>
        <w:tc>
          <w:tcPr>
            <w:tcW w:w="588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Liabilities</w:t>
            </w: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18"/>
        </w:trPr>
        <w:tc>
          <w:tcPr>
            <w:tcW w:w="20" w:type="dxa"/>
            <w:vAlign w:val="bottom"/>
            <w:shd w:val="clear" w:color="auto" w:fill="CCEEFF"/>
          </w:tcPr>
          <w:p>
            <w:pPr>
              <w:spacing w:after="0"/>
              <w:rPr>
                <w:sz w:val="18"/>
                <w:szCs w:val="18"/>
                <w:color w:val="auto"/>
              </w:rPr>
            </w:pPr>
          </w:p>
        </w:tc>
        <w:tc>
          <w:tcPr>
            <w:tcW w:w="58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Equity securities - short position</w:t>
            </w:r>
          </w:p>
        </w:tc>
        <w:tc>
          <w:tcPr>
            <w:tcW w:w="3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4,057</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4,057</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0"/>
        </w:trPr>
        <w:tc>
          <w:tcPr>
            <w:tcW w:w="20" w:type="dxa"/>
            <w:vAlign w:val="bottom"/>
          </w:tcPr>
          <w:p>
            <w:pPr>
              <w:spacing w:after="0"/>
              <w:rPr>
                <w:sz w:val="18"/>
                <w:szCs w:val="18"/>
                <w:color w:val="auto"/>
              </w:rPr>
            </w:pPr>
          </w:p>
        </w:tc>
        <w:tc>
          <w:tcPr>
            <w:tcW w:w="5880" w:type="dxa"/>
            <w:vAlign w:val="bottom"/>
          </w:tcPr>
          <w:p>
            <w:pPr>
              <w:spacing w:after="0"/>
              <w:rPr>
                <w:sz w:val="20"/>
                <w:szCs w:val="20"/>
                <w:color w:val="auto"/>
              </w:rPr>
            </w:pPr>
            <w:r>
              <w:rPr>
                <w:rFonts w:ascii="Times New Roman" w:cs="Times New Roman" w:eastAsia="Times New Roman" w:hAnsi="Times New Roman"/>
                <w:sz w:val="16"/>
                <w:szCs w:val="16"/>
                <w:color w:val="auto"/>
              </w:rPr>
              <w:t>Derivative liabilities</w:t>
            </w: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1,837</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1,824</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435"/>
        </w:trPr>
        <w:tc>
          <w:tcPr>
            <w:tcW w:w="20" w:type="dxa"/>
            <w:vAlign w:val="bottom"/>
          </w:tcPr>
          <w:p>
            <w:pPr>
              <w:spacing w:after="0"/>
              <w:rPr>
                <w:sz w:val="24"/>
                <w:szCs w:val="24"/>
                <w:color w:val="auto"/>
              </w:rPr>
            </w:pPr>
          </w:p>
        </w:tc>
        <w:tc>
          <w:tcPr>
            <w:tcW w:w="5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660" w:type="dxa"/>
            <w:vAlign w:val="bottom"/>
            <w:tcBorders>
              <w:bottom w:val="single" w:sz="8" w:color="auto"/>
            </w:tcBorders>
            <w:gridSpan w:val="8"/>
          </w:tcPr>
          <w:p>
            <w:pPr>
              <w:ind w:left="40"/>
              <w:spacing w:after="0"/>
              <w:rPr>
                <w:sz w:val="20"/>
                <w:szCs w:val="20"/>
                <w:color w:val="auto"/>
              </w:rPr>
            </w:pPr>
            <w:r>
              <w:rPr>
                <w:rFonts w:ascii="Times New Roman" w:cs="Times New Roman" w:eastAsia="Times New Roman" w:hAnsi="Times New Roman"/>
                <w:sz w:val="16"/>
                <w:szCs w:val="16"/>
                <w:b w:val="1"/>
                <w:bCs w:val="1"/>
                <w:color w:val="auto"/>
              </w:rPr>
              <w:t>Assets and Liabilities at Fair Value</w:t>
            </w:r>
          </w:p>
        </w:tc>
        <w:tc>
          <w:tcPr>
            <w:tcW w:w="24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r>
      <w:tr>
        <w:trPr>
          <w:trHeight w:val="211"/>
        </w:trPr>
        <w:tc>
          <w:tcPr>
            <w:tcW w:w="20" w:type="dxa"/>
            <w:vAlign w:val="bottom"/>
          </w:tcPr>
          <w:p>
            <w:pPr>
              <w:spacing w:after="0"/>
              <w:rPr>
                <w:sz w:val="18"/>
                <w:szCs w:val="18"/>
                <w:color w:val="auto"/>
              </w:rPr>
            </w:pPr>
          </w:p>
        </w:tc>
        <w:tc>
          <w:tcPr>
            <w:tcW w:w="5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gridSpan w:val="3"/>
          </w:tcPr>
          <w:p>
            <w:pPr>
              <w:ind w:left="20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220" w:type="dxa"/>
            <w:vAlign w:val="bottom"/>
          </w:tcPr>
          <w:p>
            <w:pPr>
              <w:spacing w:after="0"/>
              <w:rPr>
                <w:sz w:val="18"/>
                <w:szCs w:val="18"/>
                <w:color w:val="auto"/>
              </w:rPr>
            </w:pPr>
          </w:p>
        </w:tc>
        <w:tc>
          <w:tcPr>
            <w:tcW w:w="1100" w:type="dxa"/>
            <w:vAlign w:val="bottom"/>
            <w:gridSpan w:val="3"/>
          </w:tcPr>
          <w:p>
            <w:pPr>
              <w:ind w:left="140"/>
              <w:spacing w:after="0"/>
              <w:rPr>
                <w:sz w:val="20"/>
                <w:szCs w:val="20"/>
                <w:color w:val="auto"/>
              </w:rPr>
            </w:pPr>
            <w:r>
              <w:rPr>
                <w:rFonts w:ascii="Times New Roman" w:cs="Times New Roman" w:eastAsia="Times New Roman" w:hAnsi="Times New Roman"/>
                <w:sz w:val="16"/>
                <w:szCs w:val="16"/>
                <w:b w:val="1"/>
                <w:bCs w:val="1"/>
                <w:color w:val="auto"/>
              </w:rPr>
              <w:t>Level 1</w:t>
            </w:r>
          </w:p>
        </w:tc>
        <w:tc>
          <w:tcPr>
            <w:tcW w:w="240" w:type="dxa"/>
            <w:vAlign w:val="bottom"/>
          </w:tcPr>
          <w:p>
            <w:pPr>
              <w:spacing w:after="0"/>
              <w:rPr>
                <w:sz w:val="18"/>
                <w:szCs w:val="18"/>
                <w:color w:val="auto"/>
              </w:rPr>
            </w:pPr>
          </w:p>
        </w:tc>
        <w:tc>
          <w:tcPr>
            <w:tcW w:w="1100" w:type="dxa"/>
            <w:vAlign w:val="bottom"/>
            <w:gridSpan w:val="3"/>
          </w:tcPr>
          <w:p>
            <w:pPr>
              <w:ind w:left="140"/>
              <w:spacing w:after="0"/>
              <w:rPr>
                <w:sz w:val="20"/>
                <w:szCs w:val="20"/>
                <w:color w:val="auto"/>
              </w:rPr>
            </w:pPr>
            <w:r>
              <w:rPr>
                <w:rFonts w:ascii="Times New Roman" w:cs="Times New Roman" w:eastAsia="Times New Roman" w:hAnsi="Times New Roman"/>
                <w:sz w:val="16"/>
                <w:szCs w:val="16"/>
                <w:b w:val="1"/>
                <w:bCs w:val="1"/>
                <w:color w:val="auto"/>
              </w:rPr>
              <w:t>Level 2</w:t>
            </w:r>
          </w:p>
        </w:tc>
        <w:tc>
          <w:tcPr>
            <w:tcW w:w="240" w:type="dxa"/>
            <w:vAlign w:val="bottom"/>
          </w:tcPr>
          <w:p>
            <w:pPr>
              <w:spacing w:after="0"/>
              <w:rPr>
                <w:sz w:val="18"/>
                <w:szCs w:val="18"/>
                <w:color w:val="auto"/>
              </w:rPr>
            </w:pPr>
          </w:p>
        </w:tc>
        <w:tc>
          <w:tcPr>
            <w:tcW w:w="1000" w:type="dxa"/>
            <w:vAlign w:val="bottom"/>
          </w:tcPr>
          <w:p>
            <w:pPr>
              <w:jc w:val="right"/>
              <w:ind w:right="279"/>
              <w:spacing w:after="0"/>
              <w:rPr>
                <w:sz w:val="20"/>
                <w:szCs w:val="20"/>
                <w:color w:val="auto"/>
              </w:rPr>
            </w:pPr>
            <w:r>
              <w:rPr>
                <w:rFonts w:ascii="Times New Roman" w:cs="Times New Roman" w:eastAsia="Times New Roman" w:hAnsi="Times New Roman"/>
                <w:sz w:val="16"/>
                <w:szCs w:val="16"/>
                <w:b w:val="1"/>
                <w:bCs w:val="1"/>
                <w:color w:val="auto"/>
              </w:rPr>
              <w:t>Level 3</w:t>
            </w:r>
          </w:p>
        </w:tc>
      </w:tr>
      <w:tr>
        <w:trPr>
          <w:trHeight w:val="198"/>
        </w:trPr>
        <w:tc>
          <w:tcPr>
            <w:tcW w:w="20" w:type="dxa"/>
            <w:vAlign w:val="bottom"/>
          </w:tcPr>
          <w:p>
            <w:pPr>
              <w:spacing w:after="0"/>
              <w:rPr>
                <w:sz w:val="17"/>
                <w:szCs w:val="17"/>
                <w:color w:val="auto"/>
              </w:rPr>
            </w:pPr>
          </w:p>
        </w:tc>
        <w:tc>
          <w:tcPr>
            <w:tcW w:w="58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December 31, 2025</w:t>
            </w:r>
          </w:p>
        </w:tc>
        <w:tc>
          <w:tcPr>
            <w:tcW w:w="2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r>
      <w:tr>
        <w:trPr>
          <w:trHeight w:val="214"/>
        </w:trPr>
        <w:tc>
          <w:tcPr>
            <w:tcW w:w="20" w:type="dxa"/>
            <w:vAlign w:val="bottom"/>
          </w:tcPr>
          <w:p>
            <w:pPr>
              <w:spacing w:after="0"/>
              <w:rPr>
                <w:sz w:val="18"/>
                <w:szCs w:val="18"/>
                <w:color w:val="auto"/>
              </w:rPr>
            </w:pPr>
          </w:p>
        </w:tc>
        <w:tc>
          <w:tcPr>
            <w:tcW w:w="588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18"/>
        </w:trPr>
        <w:tc>
          <w:tcPr>
            <w:tcW w:w="20" w:type="dxa"/>
            <w:vAlign w:val="bottom"/>
          </w:tcPr>
          <w:p>
            <w:pPr>
              <w:spacing w:after="0"/>
              <w:rPr>
                <w:sz w:val="18"/>
                <w:szCs w:val="18"/>
                <w:color w:val="auto"/>
              </w:rPr>
            </w:pPr>
          </w:p>
        </w:tc>
        <w:tc>
          <w:tcPr>
            <w:tcW w:w="5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Money market funds</w:t>
            </w:r>
          </w:p>
        </w:tc>
        <w:tc>
          <w:tcPr>
            <w:tcW w:w="3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25,282</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25,282</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3"/>
        </w:trPr>
        <w:tc>
          <w:tcPr>
            <w:tcW w:w="20" w:type="dxa"/>
            <w:vAlign w:val="bottom"/>
          </w:tcPr>
          <w:p>
            <w:pPr>
              <w:spacing w:after="0"/>
              <w:rPr>
                <w:sz w:val="18"/>
                <w:szCs w:val="18"/>
                <w:color w:val="auto"/>
              </w:rPr>
            </w:pPr>
          </w:p>
        </w:tc>
        <w:tc>
          <w:tcPr>
            <w:tcW w:w="58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Equity securities - long position</w:t>
            </w: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151,994</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151,994</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3"/>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9"/>
        </w:trPr>
        <w:tc>
          <w:tcPr>
            <w:tcW w:w="20" w:type="dxa"/>
            <w:vAlign w:val="bottom"/>
          </w:tcPr>
          <w:p>
            <w:pPr>
              <w:spacing w:after="0"/>
              <w:rPr>
                <w:sz w:val="19"/>
                <w:szCs w:val="19"/>
                <w:color w:val="auto"/>
              </w:rPr>
            </w:pPr>
          </w:p>
        </w:tc>
        <w:tc>
          <w:tcPr>
            <w:tcW w:w="5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Fixed income instruments - long position</w:t>
            </w:r>
          </w:p>
        </w:tc>
        <w:tc>
          <w:tcPr>
            <w:tcW w:w="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255,610</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245,974</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9,636</w:t>
            </w:r>
          </w:p>
        </w:tc>
      </w:tr>
      <w:tr>
        <w:trPr>
          <w:trHeight w:val="213"/>
        </w:trPr>
        <w:tc>
          <w:tcPr>
            <w:tcW w:w="20" w:type="dxa"/>
            <w:vAlign w:val="bottom"/>
          </w:tcPr>
          <w:p>
            <w:pPr>
              <w:spacing w:after="0"/>
              <w:rPr>
                <w:sz w:val="18"/>
                <w:szCs w:val="18"/>
                <w:color w:val="auto"/>
              </w:rPr>
            </w:pPr>
          </w:p>
        </w:tc>
        <w:tc>
          <w:tcPr>
            <w:tcW w:w="58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Derivative assets</w:t>
            </w: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2,632</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203</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2,429</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59"/>
        </w:trPr>
        <w:tc>
          <w:tcPr>
            <w:tcW w:w="20" w:type="dxa"/>
            <w:vAlign w:val="bottom"/>
          </w:tcPr>
          <w:p>
            <w:pPr>
              <w:spacing w:after="0"/>
              <w:rPr>
                <w:sz w:val="22"/>
                <w:szCs w:val="22"/>
                <w:color w:val="auto"/>
              </w:rPr>
            </w:pPr>
          </w:p>
        </w:tc>
        <w:tc>
          <w:tcPr>
            <w:tcW w:w="588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00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98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98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000" w:type="dxa"/>
            <w:vAlign w:val="bottom"/>
            <w:shd w:val="clear" w:color="auto" w:fill="CCEEFF"/>
          </w:tcPr>
          <w:p>
            <w:pPr>
              <w:spacing w:after="0"/>
              <w:rPr>
                <w:sz w:val="22"/>
                <w:szCs w:val="22"/>
                <w:color w:val="auto"/>
              </w:rPr>
            </w:pPr>
          </w:p>
        </w:tc>
      </w:tr>
      <w:tr>
        <w:trPr>
          <w:trHeight w:val="214"/>
        </w:trPr>
        <w:tc>
          <w:tcPr>
            <w:tcW w:w="20" w:type="dxa"/>
            <w:vAlign w:val="bottom"/>
          </w:tcPr>
          <w:p>
            <w:pPr>
              <w:spacing w:after="0"/>
              <w:rPr>
                <w:sz w:val="18"/>
                <w:szCs w:val="18"/>
                <w:color w:val="auto"/>
              </w:rPr>
            </w:pPr>
          </w:p>
        </w:tc>
        <w:tc>
          <w:tcPr>
            <w:tcW w:w="588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Liabilities</w:t>
            </w: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18"/>
        </w:trPr>
        <w:tc>
          <w:tcPr>
            <w:tcW w:w="20" w:type="dxa"/>
            <w:vAlign w:val="bottom"/>
          </w:tcPr>
          <w:p>
            <w:pPr>
              <w:spacing w:after="0"/>
              <w:rPr>
                <w:sz w:val="18"/>
                <w:szCs w:val="18"/>
                <w:color w:val="auto"/>
              </w:rPr>
            </w:pPr>
          </w:p>
        </w:tc>
        <w:tc>
          <w:tcPr>
            <w:tcW w:w="5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Derivative liabilities</w:t>
            </w:r>
          </w:p>
        </w:tc>
        <w:tc>
          <w:tcPr>
            <w:tcW w:w="3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813</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811</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CIP balances included in the Company’s unaudited condensed consolidated statements of financial condition were as follows:</w:t>
      </w:r>
    </w:p>
    <w:p>
      <w:pPr>
        <w:spacing w:after="0" w:line="44"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60" w:type="dxa"/>
            <w:vAlign w:val="bottom"/>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As of March 31, 2026</w:t>
            </w:r>
          </w:p>
        </w:tc>
        <w:tc>
          <w:tcPr>
            <w:tcW w:w="176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As of December 31, 2025</w:t>
            </w:r>
          </w:p>
        </w:tc>
      </w:tr>
      <w:tr>
        <w:trPr>
          <w:trHeight w:val="213"/>
        </w:trPr>
        <w:tc>
          <w:tcPr>
            <w:tcW w:w="76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CIP assets included in the table above</w:t>
            </w: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169,675</w:t>
            </w:r>
          </w:p>
        </w:tc>
        <w:tc>
          <w:tcPr>
            <w:tcW w:w="12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434,705</w:t>
            </w:r>
          </w:p>
        </w:tc>
      </w:tr>
      <w:tr>
        <w:trPr>
          <w:trHeight w:val="213"/>
        </w:trPr>
        <w:tc>
          <w:tcPr>
            <w:tcW w:w="76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Net CIP assets (liabilities) not included in the table above</w:t>
            </w:r>
          </w:p>
        </w:tc>
        <w:tc>
          <w:tcPr>
            <w:tcW w:w="12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12,877</w:t>
            </w:r>
          </w:p>
        </w:tc>
        <w:tc>
          <w:tcPr>
            <w:tcW w:w="120" w:type="dxa"/>
            <w:vAlign w:val="bottom"/>
            <w:tcBorders>
              <w:bottom w:val="single" w:sz="8" w:color="CCEEFF"/>
            </w:tcBorders>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12,515</w:t>
            </w:r>
          </w:p>
        </w:tc>
      </w:tr>
      <w:tr>
        <w:trPr>
          <w:trHeight w:val="212"/>
        </w:trPr>
        <w:tc>
          <w:tcPr>
            <w:tcW w:w="7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Net CIP assets</w:t>
            </w:r>
          </w:p>
        </w:tc>
        <w:tc>
          <w:tcPr>
            <w:tcW w:w="120" w:type="dxa"/>
            <w:vAlign w:val="bottom"/>
            <w:tcBorders>
              <w:bottom w:val="single" w:sz="8" w:color="auto"/>
            </w:tcBorders>
            <w:shd w:val="clear" w:color="auto" w:fill="CCEEFF"/>
          </w:tcPr>
          <w:p>
            <w:pPr>
              <w:spacing w:after="0"/>
              <w:rPr>
                <w:sz w:val="18"/>
                <w:szCs w:val="18"/>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182,552</w:t>
            </w:r>
          </w:p>
        </w:tc>
        <w:tc>
          <w:tcPr>
            <w:tcW w:w="120" w:type="dxa"/>
            <w:vAlign w:val="bottom"/>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447,220</w:t>
            </w:r>
          </w:p>
        </w:tc>
      </w:tr>
      <w:tr>
        <w:trPr>
          <w:trHeight w:val="207"/>
        </w:trPr>
        <w:tc>
          <w:tcPr>
            <w:tcW w:w="76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Less: redeemable noncontrolling interests</w:t>
            </w:r>
          </w:p>
        </w:tc>
        <w:tc>
          <w:tcPr>
            <w:tcW w:w="120" w:type="dxa"/>
            <w:vAlign w:val="bottom"/>
            <w:tcBorders>
              <w:bottom w:val="single" w:sz="8" w:color="auto"/>
            </w:tcBorders>
          </w:tcPr>
          <w:p>
            <w:pPr>
              <w:spacing w:after="0"/>
              <w:rPr>
                <w:sz w:val="17"/>
                <w:szCs w:val="17"/>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80,458</w:t>
            </w:r>
          </w:p>
        </w:tc>
        <w:tc>
          <w:tcPr>
            <w:tcW w:w="120" w:type="dxa"/>
            <w:vAlign w:val="bottom"/>
            <w:tcBorders>
              <w:bottom w:val="single" w:sz="8" w:color="CCEEFF"/>
            </w:tcBorders>
          </w:tcPr>
          <w:p>
            <w:pPr>
              <w:spacing w:after="0"/>
              <w:rPr>
                <w:sz w:val="17"/>
                <w:szCs w:val="17"/>
                <w:color w:val="auto"/>
              </w:rPr>
            </w:pPr>
          </w:p>
        </w:tc>
        <w:tc>
          <w:tcPr>
            <w:tcW w:w="6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304,263</w:t>
            </w:r>
          </w:p>
        </w:tc>
      </w:tr>
      <w:tr>
        <w:trPr>
          <w:trHeight w:val="237"/>
        </w:trPr>
        <w:tc>
          <w:tcPr>
            <w:tcW w:w="7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Artisan’s direct equity investment in CIPs</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102,094</w:t>
            </w:r>
          </w:p>
        </w:tc>
        <w:tc>
          <w:tcPr>
            <w:tcW w:w="12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142,957</w:t>
            </w:r>
          </w:p>
        </w:tc>
      </w:tr>
      <w:tr>
        <w:trPr>
          <w:trHeight w:val="20"/>
        </w:trPr>
        <w:tc>
          <w:tcPr>
            <w:tcW w:w="76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r>
    </w:tbl>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Note 8. Noncontrolling Interests - Holdings</w:t>
      </w:r>
    </w:p>
    <w:p>
      <w:pPr>
        <w:spacing w:after="0" w:line="115" w:lineRule="exact"/>
        <w:rPr>
          <w:sz w:val="20"/>
          <w:szCs w:val="20"/>
          <w:color w:val="auto"/>
        </w:rPr>
      </w:pPr>
    </w:p>
    <w:p>
      <w:pPr>
        <w:ind w:right="80"/>
        <w:spacing w:after="0" w:line="272" w:lineRule="auto"/>
        <w:rPr>
          <w:sz w:val="20"/>
          <w:szCs w:val="20"/>
          <w:color w:val="auto"/>
        </w:rPr>
      </w:pPr>
      <w:r>
        <w:rPr>
          <w:rFonts w:ascii="Times New Roman" w:cs="Times New Roman" w:eastAsia="Times New Roman" w:hAnsi="Times New Roman"/>
          <w:sz w:val="16"/>
          <w:szCs w:val="16"/>
          <w:color w:val="auto"/>
        </w:rPr>
        <w:t>Net income attributable to noncontrolling interests - Artisan Partners Holdings in the unaudited consolidated statements of operations represents the portion of earnings or loss attributable to the equity ownership interests in Holdings held by the limited partners of Holdings. As of March 31, 2026, APAM held approximately 88% of the equity ownership interests in Holdings.</w:t>
      </w:r>
    </w:p>
    <w:p>
      <w:pPr>
        <w:spacing w:after="0" w:line="76" w:lineRule="exact"/>
        <w:rPr>
          <w:sz w:val="20"/>
          <w:szCs w:val="20"/>
          <w:color w:val="auto"/>
        </w:rPr>
      </w:pPr>
    </w:p>
    <w:p>
      <w:pPr>
        <w:ind w:right="20"/>
        <w:spacing w:after="0" w:line="263" w:lineRule="auto"/>
        <w:rPr>
          <w:sz w:val="20"/>
          <w:szCs w:val="20"/>
          <w:color w:val="auto"/>
        </w:rPr>
      </w:pPr>
      <w:r>
        <w:rPr>
          <w:rFonts w:ascii="Times New Roman" w:cs="Times New Roman" w:eastAsia="Times New Roman" w:hAnsi="Times New Roman"/>
          <w:sz w:val="16"/>
          <w:szCs w:val="16"/>
          <w:color w:val="auto"/>
        </w:rPr>
        <w:t>Limited partners of Artisan Partners Holdings are entitled to exchange partnership units (along with a corresponding number of shares of Class B or C common stock of APAM) for shares of Class A common stock from time to time (the “Holdings Common Unit Exchanges”). The Holdings Common Unit Exchanges increase APAM’s equity ownership interest in Holdings and result in an increase to deferred tax assets and amounts payable under the tax receivable agreements. See Note 12, “Income Taxes and Related Payments.”</w:t>
      </w:r>
    </w:p>
    <w:p>
      <w:pPr>
        <w:spacing w:after="0" w:line="71" w:lineRule="exact"/>
        <w:rPr>
          <w:sz w:val="20"/>
          <w:szCs w:val="20"/>
          <w:color w:val="auto"/>
        </w:rPr>
      </w:pPr>
    </w:p>
    <w:p>
      <w:pPr>
        <w:ind w:right="80"/>
        <w:spacing w:after="0" w:line="269" w:lineRule="auto"/>
        <w:rPr>
          <w:sz w:val="20"/>
          <w:szCs w:val="20"/>
          <w:color w:val="auto"/>
        </w:rPr>
      </w:pPr>
      <w:r>
        <w:rPr>
          <w:rFonts w:ascii="Times New Roman" w:cs="Times New Roman" w:eastAsia="Times New Roman" w:hAnsi="Times New Roman"/>
          <w:sz w:val="16"/>
          <w:szCs w:val="16"/>
          <w:color w:val="auto"/>
        </w:rPr>
        <w:t>In order to maintain the one-to-one correspondence of the number of Holdings partnership units and APAM common shares, Holdings will issue one general partner (“GP”) unit to APAM for each share of Class A common stock issued by APAM. For the three months ended March 31, 2026, APAM’s equity ownership interest in Holdings increased as a result of the following transactions:</w:t>
      </w:r>
    </w:p>
    <w:tbl>
      <w:tblPr>
        <w:tblLayout w:type="fixed"/>
        <w:tblInd w:w="0" w:type="dxa"/>
        <w:tblCellMar>
          <w:top w:w="0" w:type="dxa"/>
          <w:left w:w="0" w:type="dxa"/>
          <w:bottom w:w="0" w:type="dxa"/>
          <w:right w:w="0" w:type="dxa"/>
        </w:tblCellMar>
      </w:tblPr>
      <w:tr>
        <w:trPr>
          <w:trHeight w:val="165"/>
        </w:trPr>
        <w:tc>
          <w:tcPr>
            <w:tcW w:w="5580" w:type="dxa"/>
            <w:vAlign w:val="bottom"/>
          </w:tcPr>
          <w:p>
            <w:pPr>
              <w:spacing w:after="0"/>
              <w:rPr>
                <w:sz w:val="14"/>
                <w:szCs w:val="14"/>
                <w:color w:val="auto"/>
              </w:rPr>
            </w:pPr>
          </w:p>
        </w:tc>
        <w:tc>
          <w:tcPr>
            <w:tcW w:w="1400" w:type="dxa"/>
            <w:vAlign w:val="bottom"/>
            <w:gridSpan w:val="2"/>
          </w:tcPr>
          <w:p>
            <w:pPr>
              <w:jc w:val="center"/>
              <w:ind w:right="120"/>
              <w:spacing w:after="0" w:line="165" w:lineRule="exact"/>
              <w:rPr>
                <w:sz w:val="20"/>
                <w:szCs w:val="20"/>
                <w:color w:val="auto"/>
              </w:rPr>
            </w:pPr>
            <w:r>
              <w:rPr>
                <w:rFonts w:ascii="Times New Roman" w:cs="Times New Roman" w:eastAsia="Times New Roman" w:hAnsi="Times New Roman"/>
                <w:sz w:val="16"/>
                <w:szCs w:val="16"/>
                <w:b w:val="1"/>
                <w:bCs w:val="1"/>
                <w:color w:val="auto"/>
              </w:rPr>
              <w:t>Holdings GP</w:t>
            </w:r>
          </w:p>
        </w:tc>
        <w:tc>
          <w:tcPr>
            <w:tcW w:w="1420" w:type="dxa"/>
            <w:vAlign w:val="bottom"/>
            <w:gridSpan w:val="2"/>
          </w:tcPr>
          <w:p>
            <w:pPr>
              <w:ind w:left="380"/>
              <w:spacing w:after="0" w:line="165" w:lineRule="exact"/>
              <w:rPr>
                <w:sz w:val="20"/>
                <w:szCs w:val="20"/>
                <w:color w:val="auto"/>
              </w:rPr>
            </w:pPr>
            <w:r>
              <w:rPr>
                <w:rFonts w:ascii="Times New Roman" w:cs="Times New Roman" w:eastAsia="Times New Roman" w:hAnsi="Times New Roman"/>
                <w:sz w:val="16"/>
                <w:szCs w:val="16"/>
                <w:b w:val="1"/>
                <w:bCs w:val="1"/>
                <w:color w:val="auto"/>
              </w:rPr>
              <w:t>Limited</w:t>
            </w:r>
          </w:p>
        </w:tc>
        <w:tc>
          <w:tcPr>
            <w:tcW w:w="1400" w:type="dxa"/>
            <w:vAlign w:val="bottom"/>
            <w:gridSpan w:val="2"/>
            <w:vMerge w:val="restart"/>
          </w:tcPr>
          <w:p>
            <w:pPr>
              <w:ind w:left="46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1440" w:type="dxa"/>
            <w:vAlign w:val="bottom"/>
            <w:gridSpan w:val="2"/>
          </w:tcPr>
          <w:p>
            <w:pPr>
              <w:jc w:val="right"/>
              <w:spacing w:after="0" w:line="165" w:lineRule="exact"/>
              <w:rPr>
                <w:sz w:val="20"/>
                <w:szCs w:val="20"/>
                <w:color w:val="auto"/>
              </w:rPr>
            </w:pPr>
            <w:r>
              <w:rPr>
                <w:rFonts w:ascii="Times New Roman" w:cs="Times New Roman" w:eastAsia="Times New Roman" w:hAnsi="Times New Roman"/>
                <w:sz w:val="16"/>
                <w:szCs w:val="16"/>
                <w:b w:val="1"/>
                <w:bCs w:val="1"/>
                <w:color w:val="auto"/>
              </w:rPr>
              <w:t>APAM Ownership</w:t>
            </w:r>
          </w:p>
        </w:tc>
        <w:tc>
          <w:tcPr>
            <w:tcW w:w="0" w:type="dxa"/>
            <w:vAlign w:val="bottom"/>
          </w:tcPr>
          <w:p>
            <w:pPr>
              <w:spacing w:after="0"/>
              <w:rPr>
                <w:sz w:val="1"/>
                <w:szCs w:val="1"/>
                <w:color w:val="auto"/>
              </w:rPr>
            </w:pPr>
          </w:p>
        </w:tc>
      </w:tr>
      <w:tr>
        <w:trPr>
          <w:trHeight w:val="214"/>
        </w:trPr>
        <w:tc>
          <w:tcPr>
            <w:tcW w:w="5580" w:type="dxa"/>
            <w:vAlign w:val="bottom"/>
          </w:tcPr>
          <w:p>
            <w:pPr>
              <w:spacing w:after="0"/>
              <w:rPr>
                <w:sz w:val="18"/>
                <w:szCs w:val="18"/>
                <w:color w:val="auto"/>
              </w:rPr>
            </w:pPr>
          </w:p>
        </w:tc>
        <w:tc>
          <w:tcPr>
            <w:tcW w:w="140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w w:val="98"/>
              </w:rPr>
              <w:t>Units</w:t>
            </w:r>
          </w:p>
        </w:tc>
        <w:tc>
          <w:tcPr>
            <w:tcW w:w="14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b w:val="1"/>
                <w:bCs w:val="1"/>
                <w:color w:val="auto"/>
              </w:rPr>
              <w:t>Partnership Units</w:t>
            </w:r>
          </w:p>
        </w:tc>
        <w:tc>
          <w:tcPr>
            <w:tcW w:w="1400" w:type="dxa"/>
            <w:vAlign w:val="bottom"/>
            <w:gridSpan w:val="2"/>
            <w:vMerge w:val="continue"/>
          </w:tcPr>
          <w:p>
            <w:pPr>
              <w:spacing w:after="0"/>
              <w:rPr>
                <w:sz w:val="18"/>
                <w:szCs w:val="18"/>
                <w:color w:val="auto"/>
              </w:rPr>
            </w:pPr>
          </w:p>
        </w:tc>
        <w:tc>
          <w:tcPr>
            <w:tcW w:w="1240" w:type="dxa"/>
            <w:vAlign w:val="bottom"/>
          </w:tcPr>
          <w:p>
            <w:pPr>
              <w:jc w:val="right"/>
              <w:ind w:right="359"/>
              <w:spacing w:after="0"/>
              <w:rPr>
                <w:sz w:val="20"/>
                <w:szCs w:val="20"/>
                <w:color w:val="auto"/>
              </w:rPr>
            </w:pPr>
            <w:r>
              <w:rPr>
                <w:rFonts w:ascii="Times New Roman" w:cs="Times New Roman" w:eastAsia="Times New Roman" w:hAnsi="Times New Roman"/>
                <w:sz w:val="16"/>
                <w:szCs w:val="16"/>
                <w:b w:val="1"/>
                <w:bCs w:val="1"/>
                <w:color w:val="auto"/>
              </w:rPr>
              <w:t>%</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55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Balance at December 31, 2025</w:t>
            </w: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70,472,750</w:t>
            </w:r>
          </w:p>
        </w:tc>
        <w:tc>
          <w:tcPr>
            <w:tcW w:w="120" w:type="dxa"/>
            <w:vAlign w:val="bottom"/>
            <w:tcBorders>
              <w:top w:val="single" w:sz="8" w:color="CCEEFF"/>
            </w:tcBorders>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10,215,519</w:t>
            </w:r>
          </w:p>
        </w:tc>
        <w:tc>
          <w:tcPr>
            <w:tcW w:w="140" w:type="dxa"/>
            <w:vAlign w:val="bottom"/>
            <w:tcBorders>
              <w:top w:val="single" w:sz="8" w:color="CCEEFF"/>
            </w:tcBorders>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80,688,269</w:t>
            </w:r>
          </w:p>
        </w:tc>
        <w:tc>
          <w:tcPr>
            <w:tcW w:w="120" w:type="dxa"/>
            <w:vAlign w:val="bottom"/>
            <w:tcBorders>
              <w:top w:val="single" w:sz="8" w:color="CCEEFF"/>
            </w:tcBorders>
            <w:shd w:val="clear" w:color="auto" w:fill="CCEEFF"/>
          </w:tcPr>
          <w:p>
            <w:pPr>
              <w:spacing w:after="0"/>
              <w:rPr>
                <w:sz w:val="18"/>
                <w:szCs w:val="18"/>
                <w:color w:val="auto"/>
              </w:rPr>
            </w:pPr>
          </w:p>
        </w:tc>
        <w:tc>
          <w:tcPr>
            <w:tcW w:w="144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87 %</w:t>
            </w:r>
          </w:p>
        </w:tc>
        <w:tc>
          <w:tcPr>
            <w:tcW w:w="0" w:type="dxa"/>
            <w:vAlign w:val="bottom"/>
          </w:tcPr>
          <w:p>
            <w:pPr>
              <w:spacing w:after="0"/>
              <w:rPr>
                <w:sz w:val="1"/>
                <w:szCs w:val="1"/>
                <w:color w:val="auto"/>
              </w:rPr>
            </w:pPr>
          </w:p>
        </w:tc>
      </w:tr>
      <w:tr>
        <w:trPr>
          <w:trHeight w:val="216"/>
        </w:trPr>
        <w:tc>
          <w:tcPr>
            <w:tcW w:w="5580" w:type="dxa"/>
            <w:vAlign w:val="bottom"/>
          </w:tcPr>
          <w:p>
            <w:pPr>
              <w:ind w:left="20"/>
              <w:spacing w:after="0" w:line="216" w:lineRule="exact"/>
              <w:rPr>
                <w:sz w:val="20"/>
                <w:szCs w:val="20"/>
                <w:color w:val="auto"/>
              </w:rPr>
            </w:pPr>
            <w:r>
              <w:rPr>
                <w:rFonts w:ascii="Times New Roman" w:cs="Times New Roman" w:eastAsia="Times New Roman" w:hAnsi="Times New Roman"/>
                <w:sz w:val="16"/>
                <w:szCs w:val="16"/>
                <w:color w:val="auto"/>
              </w:rPr>
              <w:t xml:space="preserve">Holdings Common Unit Exchanges </w:t>
            </w:r>
            <w:r>
              <w:rPr>
                <w:rFonts w:ascii="Times New Roman" w:cs="Times New Roman" w:eastAsia="Times New Roman" w:hAnsi="Times New Roman"/>
                <w:sz w:val="21"/>
                <w:szCs w:val="21"/>
                <w:color w:val="auto"/>
                <w:vertAlign w:val="superscript"/>
              </w:rPr>
              <w:t>(1)</w:t>
            </w: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160,114</w:t>
            </w:r>
          </w:p>
        </w:tc>
        <w:tc>
          <w:tcPr>
            <w:tcW w:w="12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(160,114)</w:t>
            </w:r>
          </w:p>
        </w:tc>
        <w:tc>
          <w:tcPr>
            <w:tcW w:w="140" w:type="dxa"/>
            <w:vAlign w:val="bottom"/>
          </w:tcPr>
          <w:p>
            <w:pPr>
              <w:spacing w:after="0"/>
              <w:rPr>
                <w:sz w:val="18"/>
                <w:szCs w:val="18"/>
                <w:color w:val="auto"/>
              </w:rPr>
            </w:pPr>
          </w:p>
        </w:tc>
        <w:tc>
          <w:tcPr>
            <w:tcW w:w="140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 %</w:t>
            </w:r>
          </w:p>
        </w:tc>
        <w:tc>
          <w:tcPr>
            <w:tcW w:w="0" w:type="dxa"/>
            <w:vAlign w:val="bottom"/>
          </w:tcPr>
          <w:p>
            <w:pPr>
              <w:spacing w:after="0"/>
              <w:rPr>
                <w:sz w:val="1"/>
                <w:szCs w:val="1"/>
                <w:color w:val="auto"/>
              </w:rPr>
            </w:pPr>
          </w:p>
        </w:tc>
      </w:tr>
      <w:tr>
        <w:trPr>
          <w:trHeight w:val="216"/>
        </w:trPr>
        <w:tc>
          <w:tcPr>
            <w:tcW w:w="5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Issuance of APAM Restricted Shares</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465,719</w:t>
            </w:r>
          </w:p>
        </w:tc>
        <w:tc>
          <w:tcPr>
            <w:tcW w:w="12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465,719</w:t>
            </w: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6"/>
        </w:trPr>
        <w:tc>
          <w:tcPr>
            <w:tcW w:w="5580" w:type="dxa"/>
            <w:vAlign w:val="bottom"/>
          </w:tcPr>
          <w:p>
            <w:pPr>
              <w:ind w:left="20"/>
              <w:spacing w:after="0" w:line="216" w:lineRule="exact"/>
              <w:rPr>
                <w:sz w:val="20"/>
                <w:szCs w:val="20"/>
                <w:color w:val="auto"/>
              </w:rPr>
            </w:pPr>
            <w:r>
              <w:rPr>
                <w:rFonts w:ascii="Times New Roman" w:cs="Times New Roman" w:eastAsia="Times New Roman" w:hAnsi="Times New Roman"/>
                <w:sz w:val="16"/>
                <w:szCs w:val="16"/>
                <w:color w:val="auto"/>
              </w:rPr>
              <w:t xml:space="preserve">Class B Unit Awards </w:t>
            </w:r>
            <w:r>
              <w:rPr>
                <w:rFonts w:ascii="Times New Roman" w:cs="Times New Roman" w:eastAsia="Times New Roman" w:hAnsi="Times New Roman"/>
                <w:sz w:val="21"/>
                <w:szCs w:val="21"/>
                <w:color w:val="auto"/>
                <w:vertAlign w:val="superscript"/>
              </w:rPr>
              <w:t>(1)</w:t>
            </w:r>
          </w:p>
        </w:tc>
        <w:tc>
          <w:tcPr>
            <w:tcW w:w="14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9,100</w:t>
            </w:r>
          </w:p>
        </w:tc>
        <w:tc>
          <w:tcPr>
            <w:tcW w:w="14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9,100</w:t>
            </w:r>
          </w:p>
        </w:tc>
        <w:tc>
          <w:tcPr>
            <w:tcW w:w="120" w:type="dxa"/>
            <w:vAlign w:val="bottom"/>
          </w:tcPr>
          <w:p>
            <w:pPr>
              <w:spacing w:after="0"/>
              <w:rPr>
                <w:sz w:val="18"/>
                <w:szCs w:val="18"/>
                <w:color w:val="auto"/>
              </w:rPr>
            </w:pP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 %</w:t>
            </w:r>
          </w:p>
        </w:tc>
        <w:tc>
          <w:tcPr>
            <w:tcW w:w="0" w:type="dxa"/>
            <w:vAlign w:val="bottom"/>
          </w:tcPr>
          <w:p>
            <w:pPr>
              <w:spacing w:after="0"/>
              <w:rPr>
                <w:sz w:val="1"/>
                <w:szCs w:val="1"/>
                <w:color w:val="auto"/>
              </w:rPr>
            </w:pPr>
          </w:p>
        </w:tc>
      </w:tr>
      <w:tr>
        <w:trPr>
          <w:trHeight w:val="216"/>
        </w:trPr>
        <w:tc>
          <w:tcPr>
            <w:tcW w:w="5580" w:type="dxa"/>
            <w:vAlign w:val="bottom"/>
            <w:shd w:val="clear" w:color="auto" w:fill="CCEEFF"/>
          </w:tcPr>
          <w:p>
            <w:pPr>
              <w:ind w:left="20"/>
              <w:spacing w:after="0" w:line="216" w:lineRule="exact"/>
              <w:rPr>
                <w:sz w:val="20"/>
                <w:szCs w:val="20"/>
                <w:color w:val="auto"/>
              </w:rPr>
            </w:pPr>
            <w:r>
              <w:rPr>
                <w:rFonts w:ascii="Times New Roman" w:cs="Times New Roman" w:eastAsia="Times New Roman" w:hAnsi="Times New Roman"/>
                <w:sz w:val="16"/>
                <w:szCs w:val="16"/>
                <w:color w:val="auto"/>
              </w:rPr>
              <w:t xml:space="preserve">Delivery of Shares Underlying RSUs and PSUs </w:t>
            </w:r>
            <w:r>
              <w:rPr>
                <w:rFonts w:ascii="Times New Roman" w:cs="Times New Roman" w:eastAsia="Times New Roman" w:hAnsi="Times New Roman"/>
                <w:sz w:val="21"/>
                <w:szCs w:val="21"/>
                <w:color w:val="auto"/>
                <w:vertAlign w:val="superscript"/>
              </w:rPr>
              <w:t>(1)</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752</w:t>
            </w:r>
          </w:p>
        </w:tc>
        <w:tc>
          <w:tcPr>
            <w:tcW w:w="12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752</w:t>
            </w:r>
          </w:p>
        </w:tc>
        <w:tc>
          <w:tcPr>
            <w:tcW w:w="1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 %</w:t>
            </w:r>
          </w:p>
        </w:tc>
        <w:tc>
          <w:tcPr>
            <w:tcW w:w="0" w:type="dxa"/>
            <w:vAlign w:val="bottom"/>
          </w:tcPr>
          <w:p>
            <w:pPr>
              <w:spacing w:after="0"/>
              <w:rPr>
                <w:sz w:val="1"/>
                <w:szCs w:val="1"/>
                <w:color w:val="auto"/>
              </w:rPr>
            </w:pPr>
          </w:p>
        </w:tc>
      </w:tr>
      <w:tr>
        <w:trPr>
          <w:trHeight w:val="216"/>
        </w:trPr>
        <w:tc>
          <w:tcPr>
            <w:tcW w:w="5580" w:type="dxa"/>
            <w:vAlign w:val="bottom"/>
          </w:tcPr>
          <w:p>
            <w:pPr>
              <w:ind w:left="20"/>
              <w:spacing w:after="0" w:line="216" w:lineRule="exact"/>
              <w:rPr>
                <w:sz w:val="20"/>
                <w:szCs w:val="20"/>
                <w:color w:val="auto"/>
              </w:rPr>
            </w:pPr>
            <w:r>
              <w:rPr>
                <w:rFonts w:ascii="Times New Roman" w:cs="Times New Roman" w:eastAsia="Times New Roman" w:hAnsi="Times New Roman"/>
                <w:sz w:val="16"/>
                <w:szCs w:val="16"/>
                <w:color w:val="auto"/>
              </w:rPr>
              <w:t xml:space="preserve">Restricted Share Award Net Share Settlement </w:t>
            </w:r>
            <w:r>
              <w:rPr>
                <w:rFonts w:ascii="Times New Roman" w:cs="Times New Roman" w:eastAsia="Times New Roman" w:hAnsi="Times New Roman"/>
                <w:sz w:val="21"/>
                <w:szCs w:val="21"/>
                <w:color w:val="auto"/>
                <w:vertAlign w:val="superscript"/>
              </w:rPr>
              <w:t>(1)</w:t>
            </w: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(101,771)</w:t>
            </w:r>
          </w:p>
        </w:tc>
        <w:tc>
          <w:tcPr>
            <w:tcW w:w="120" w:type="dxa"/>
            <w:vAlign w:val="bottom"/>
          </w:tcPr>
          <w:p>
            <w:pPr>
              <w:spacing w:after="0"/>
              <w:rPr>
                <w:sz w:val="18"/>
                <w:szCs w:val="18"/>
                <w:color w:val="auto"/>
              </w:rPr>
            </w:pPr>
          </w:p>
        </w:tc>
        <w:tc>
          <w:tcPr>
            <w:tcW w:w="142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(101,771)</w:t>
            </w:r>
          </w:p>
        </w:tc>
        <w:tc>
          <w:tcPr>
            <w:tcW w:w="120" w:type="dxa"/>
            <w:vAlign w:val="bottom"/>
          </w:tcPr>
          <w:p>
            <w:pPr>
              <w:spacing w:after="0"/>
              <w:rPr>
                <w:sz w:val="18"/>
                <w:szCs w:val="18"/>
                <w:color w:val="auto"/>
              </w:rPr>
            </w:pP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 %</w:t>
            </w:r>
          </w:p>
        </w:tc>
        <w:tc>
          <w:tcPr>
            <w:tcW w:w="0" w:type="dxa"/>
            <w:vAlign w:val="bottom"/>
          </w:tcPr>
          <w:p>
            <w:pPr>
              <w:spacing w:after="0"/>
              <w:rPr>
                <w:sz w:val="1"/>
                <w:szCs w:val="1"/>
                <w:color w:val="auto"/>
              </w:rPr>
            </w:pPr>
          </w:p>
        </w:tc>
      </w:tr>
      <w:tr>
        <w:trPr>
          <w:trHeight w:val="216"/>
        </w:trPr>
        <w:tc>
          <w:tcPr>
            <w:tcW w:w="5580" w:type="dxa"/>
            <w:vAlign w:val="bottom"/>
            <w:shd w:val="clear" w:color="auto" w:fill="CCEEFF"/>
          </w:tcPr>
          <w:p>
            <w:pPr>
              <w:ind w:left="20"/>
              <w:spacing w:after="0" w:line="216" w:lineRule="exact"/>
              <w:rPr>
                <w:sz w:val="20"/>
                <w:szCs w:val="20"/>
                <w:color w:val="auto"/>
              </w:rPr>
            </w:pPr>
            <w:r>
              <w:rPr>
                <w:rFonts w:ascii="Times New Roman" w:cs="Times New Roman" w:eastAsia="Times New Roman" w:hAnsi="Times New Roman"/>
                <w:sz w:val="16"/>
                <w:szCs w:val="16"/>
                <w:color w:val="auto"/>
              </w:rPr>
              <w:t xml:space="preserve">Forfeitures Related to Employee Terminations </w:t>
            </w:r>
            <w:r>
              <w:rPr>
                <w:rFonts w:ascii="Times New Roman" w:cs="Times New Roman" w:eastAsia="Times New Roman" w:hAnsi="Times New Roman"/>
                <w:sz w:val="21"/>
                <w:szCs w:val="21"/>
                <w:color w:val="auto"/>
                <w:vertAlign w:val="superscript"/>
              </w:rPr>
              <w:t>(1)</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(4,307)</w:t>
            </w:r>
          </w:p>
        </w:tc>
        <w:tc>
          <w:tcPr>
            <w:tcW w:w="12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(4,307)</w:t>
            </w:r>
          </w:p>
        </w:tc>
        <w:tc>
          <w:tcPr>
            <w:tcW w:w="1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 %</w:t>
            </w:r>
          </w:p>
        </w:tc>
        <w:tc>
          <w:tcPr>
            <w:tcW w:w="0" w:type="dxa"/>
            <w:vAlign w:val="bottom"/>
          </w:tcPr>
          <w:p>
            <w:pPr>
              <w:spacing w:after="0"/>
              <w:rPr>
                <w:sz w:val="1"/>
                <w:szCs w:val="1"/>
                <w:color w:val="auto"/>
              </w:rPr>
            </w:pPr>
          </w:p>
        </w:tc>
      </w:tr>
      <w:tr>
        <w:trPr>
          <w:trHeight w:val="210"/>
        </w:trPr>
        <w:tc>
          <w:tcPr>
            <w:tcW w:w="558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Balance at March 31, 2026</w:t>
            </w: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70,993,257</w:t>
            </w:r>
          </w:p>
        </w:tc>
        <w:tc>
          <w:tcPr>
            <w:tcW w:w="120" w:type="dxa"/>
            <w:vAlign w:val="bottom"/>
          </w:tcPr>
          <w:p>
            <w:pPr>
              <w:spacing w:after="0"/>
              <w:rPr>
                <w:sz w:val="18"/>
                <w:szCs w:val="18"/>
                <w:color w:val="auto"/>
              </w:rPr>
            </w:pP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10,064,505</w:t>
            </w:r>
          </w:p>
        </w:tc>
        <w:tc>
          <w:tcPr>
            <w:tcW w:w="140" w:type="dxa"/>
            <w:vAlign w:val="bottom"/>
          </w:tcPr>
          <w:p>
            <w:pPr>
              <w:spacing w:after="0"/>
              <w:rPr>
                <w:sz w:val="18"/>
                <w:szCs w:val="18"/>
                <w:color w:val="auto"/>
              </w:rPr>
            </w:pP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81,057,762</w:t>
            </w:r>
          </w:p>
        </w:tc>
        <w:tc>
          <w:tcPr>
            <w:tcW w:w="120" w:type="dxa"/>
            <w:vAlign w:val="bottom"/>
          </w:tcPr>
          <w:p>
            <w:pPr>
              <w:spacing w:after="0"/>
              <w:rPr>
                <w:sz w:val="18"/>
                <w:szCs w:val="18"/>
                <w:color w:val="auto"/>
              </w:rPr>
            </w:pPr>
          </w:p>
        </w:tc>
        <w:tc>
          <w:tcPr>
            <w:tcW w:w="144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88 %</w:t>
            </w:r>
          </w:p>
        </w:tc>
        <w:tc>
          <w:tcPr>
            <w:tcW w:w="0" w:type="dxa"/>
            <w:vAlign w:val="bottom"/>
          </w:tcPr>
          <w:p>
            <w:pPr>
              <w:spacing w:after="0"/>
              <w:rPr>
                <w:sz w:val="1"/>
                <w:szCs w:val="1"/>
                <w:color w:val="auto"/>
              </w:rPr>
            </w:pPr>
          </w:p>
        </w:tc>
      </w:tr>
    </w:tbl>
    <w:p>
      <w:pPr>
        <w:spacing w:after="0" w:line="4" w:lineRule="exact"/>
        <w:rPr>
          <w:sz w:val="20"/>
          <w:szCs w:val="20"/>
          <w:color w:val="auto"/>
        </w:rPr>
      </w:pPr>
    </w:p>
    <w:p>
      <w:pPr>
        <w:ind w:left="180" w:hanging="154"/>
        <w:spacing w:after="0"/>
        <w:tabs>
          <w:tab w:leader="none" w:pos="180" w:val="left"/>
        </w:tabs>
        <w:numPr>
          <w:ilvl w:val="0"/>
          <w:numId w:val="8"/>
        </w:numPr>
        <w:rPr>
          <w:rFonts w:ascii="Times New Roman" w:cs="Times New Roman" w:eastAsia="Times New Roman" w:hAnsi="Times New Roman"/>
          <w:sz w:val="9"/>
          <w:szCs w:val="9"/>
          <w:color w:val="auto"/>
        </w:rPr>
      </w:pPr>
      <w:r>
        <w:rPr>
          <w:rFonts w:ascii="Times New Roman" w:cs="Times New Roman" w:eastAsia="Times New Roman" w:hAnsi="Times New Roman"/>
          <w:sz w:val="14"/>
          <w:szCs w:val="14"/>
          <w:color w:val="auto"/>
        </w:rPr>
        <w:t>The impact of the transaction on APAM’s ownership percentage was less than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3545205</wp:posOffset>
            </wp:positionH>
            <wp:positionV relativeFrom="paragraph">
              <wp:posOffset>-86995</wp:posOffset>
            </wp:positionV>
            <wp:extent cx="359156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3591560" cy="8890"/>
                    </a:xfrm>
                    <a:prstGeom prst="rect">
                      <a:avLst/>
                    </a:prstGeom>
                    <a:noFill/>
                  </pic:spPr>
                </pic:pic>
              </a:graphicData>
            </a:graphic>
          </wp:anchor>
        </w:drawing>
      </w:r>
    </w:p>
    <w:p>
      <w:pPr>
        <w:spacing w:after="0" w:line="246" w:lineRule="exact"/>
        <w:rPr>
          <w:sz w:val="20"/>
          <w:szCs w:val="20"/>
          <w:color w:val="auto"/>
        </w:rPr>
      </w:pPr>
    </w:p>
    <w:p>
      <w:pPr>
        <w:ind w:right="240"/>
        <w:spacing w:after="0" w:line="272" w:lineRule="auto"/>
        <w:rPr>
          <w:sz w:val="20"/>
          <w:szCs w:val="20"/>
          <w:color w:val="auto"/>
        </w:rPr>
      </w:pPr>
      <w:r>
        <w:rPr>
          <w:rFonts w:ascii="Times New Roman" w:cs="Times New Roman" w:eastAsia="Times New Roman" w:hAnsi="Times New Roman"/>
          <w:sz w:val="16"/>
          <w:szCs w:val="16"/>
          <w:color w:val="auto"/>
        </w:rPr>
        <w:t>Changes in ownership of Holdings are accounted for as equity transactions because APAM continues to have a controlling interest in Holdings. Additional paid-in capital and noncontrolling interests - Artisan Partners Holdings in the unaudited condensed consolidated statements of financial condition are adjusted to reallocate Holdings’ historical equity to reflect the change in APAM’s ownership of Holdings.</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reallocation of equity had the following impact on the unaudited condensed consolidated statements of financial condition:</w:t>
      </w: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8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3220" w:type="dxa"/>
            <w:vAlign w:val="bottom"/>
            <w:tcBorders>
              <w:bottom w:val="single" w:sz="8" w:color="auto"/>
            </w:tcBorders>
            <w:gridSpan w:val="4"/>
          </w:tcPr>
          <w:p>
            <w:pPr>
              <w:jc w:val="right"/>
              <w:ind w:right="259"/>
              <w:spacing w:after="0"/>
              <w:rPr>
                <w:sz w:val="20"/>
                <w:szCs w:val="20"/>
                <w:color w:val="auto"/>
              </w:rPr>
            </w:pPr>
            <w:r>
              <w:rPr>
                <w:rFonts w:ascii="Times New Roman" w:cs="Times New Roman" w:eastAsia="Times New Roman" w:hAnsi="Times New Roman"/>
                <w:sz w:val="16"/>
                <w:szCs w:val="16"/>
                <w:b w:val="1"/>
                <w:bCs w:val="1"/>
                <w:color w:val="auto"/>
              </w:rPr>
              <w:t>For the Three Months Ended March 31,</w:t>
            </w:r>
          </w:p>
        </w:tc>
      </w:tr>
      <w:tr>
        <w:trPr>
          <w:trHeight w:val="236"/>
        </w:trPr>
        <w:tc>
          <w:tcPr>
            <w:tcW w:w="78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Statements of Financial Condition</w:t>
            </w:r>
          </w:p>
        </w:tc>
        <w:tc>
          <w:tcPr>
            <w:tcW w:w="22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right"/>
              <w:ind w:right="599"/>
              <w:spacing w:after="0"/>
              <w:rPr>
                <w:sz w:val="20"/>
                <w:szCs w:val="20"/>
                <w:color w:val="auto"/>
              </w:rPr>
            </w:pPr>
            <w:r>
              <w:rPr>
                <w:rFonts w:ascii="Times New Roman" w:cs="Times New Roman" w:eastAsia="Times New Roman" w:hAnsi="Times New Roman"/>
                <w:sz w:val="16"/>
                <w:szCs w:val="16"/>
                <w:b w:val="1"/>
                <w:bCs w:val="1"/>
                <w:color w:val="auto"/>
              </w:rPr>
              <w:t>2026</w:t>
            </w:r>
          </w:p>
        </w:tc>
        <w:tc>
          <w:tcPr>
            <w:tcW w:w="120" w:type="dxa"/>
            <w:vAlign w:val="bottom"/>
            <w:tcBorders>
              <w:bottom w:val="single" w:sz="8" w:color="CCEEFF"/>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579"/>
              <w:spacing w:after="0"/>
              <w:rPr>
                <w:sz w:val="20"/>
                <w:szCs w:val="20"/>
                <w:color w:val="auto"/>
              </w:rPr>
            </w:pPr>
            <w:r>
              <w:rPr>
                <w:rFonts w:ascii="Times New Roman" w:cs="Times New Roman" w:eastAsia="Times New Roman" w:hAnsi="Times New Roman"/>
                <w:sz w:val="16"/>
                <w:szCs w:val="16"/>
                <w:b w:val="1"/>
                <w:bCs w:val="1"/>
                <w:color w:val="auto"/>
              </w:rPr>
              <w:t>2025</w:t>
            </w:r>
          </w:p>
        </w:tc>
      </w:tr>
      <w:tr>
        <w:trPr>
          <w:trHeight w:val="213"/>
        </w:trPr>
        <w:tc>
          <w:tcPr>
            <w:tcW w:w="7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Additional paid-in capital</w:t>
            </w:r>
          </w:p>
        </w:tc>
        <w:tc>
          <w:tcPr>
            <w:tcW w:w="2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676</w:t>
            </w: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(257)</w:t>
            </w:r>
          </w:p>
        </w:tc>
      </w:tr>
      <w:tr>
        <w:trPr>
          <w:trHeight w:val="213"/>
        </w:trPr>
        <w:tc>
          <w:tcPr>
            <w:tcW w:w="78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Noncontrolling interests - Artisan Partners Holdings</w:t>
            </w:r>
          </w:p>
        </w:tc>
        <w:tc>
          <w:tcPr>
            <w:tcW w:w="22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(681)</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260</w:t>
            </w:r>
          </w:p>
        </w:tc>
      </w:tr>
      <w:tr>
        <w:trPr>
          <w:trHeight w:val="219"/>
        </w:trPr>
        <w:tc>
          <w:tcPr>
            <w:tcW w:w="7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Accumulated other comprehensive income (loss)</w:t>
            </w:r>
          </w:p>
        </w:tc>
        <w:tc>
          <w:tcPr>
            <w:tcW w:w="22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12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w:t>
            </w:r>
          </w:p>
        </w:tc>
      </w:tr>
      <w:tr>
        <w:trPr>
          <w:trHeight w:val="210"/>
        </w:trPr>
        <w:tc>
          <w:tcPr>
            <w:tcW w:w="78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impact to financial condition</w:t>
            </w:r>
          </w:p>
        </w:tc>
        <w:tc>
          <w:tcPr>
            <w:tcW w:w="2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380" w:type="dxa"/>
            <w:vAlign w:val="bottom"/>
            <w:tcBorders>
              <w:bottom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0"/>
        </w:trPr>
        <w:tc>
          <w:tcPr>
            <w:tcW w:w="78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bl>
    <w:p>
      <w:pPr>
        <w:spacing w:after="0" w:line="175" w:lineRule="exact"/>
        <w:rPr>
          <w:sz w:val="20"/>
          <w:szCs w:val="20"/>
          <w:color w:val="auto"/>
        </w:rPr>
      </w:pPr>
    </w:p>
    <w:p>
      <w:pPr>
        <w:ind w:right="100"/>
        <w:spacing w:after="0" w:line="298" w:lineRule="auto"/>
        <w:rPr>
          <w:sz w:val="20"/>
          <w:szCs w:val="20"/>
          <w:color w:val="auto"/>
        </w:rPr>
      </w:pPr>
      <w:r>
        <w:rPr>
          <w:rFonts w:ascii="Times New Roman" w:cs="Times New Roman" w:eastAsia="Times New Roman" w:hAnsi="Times New Roman"/>
          <w:sz w:val="16"/>
          <w:szCs w:val="16"/>
          <w:color w:val="auto"/>
        </w:rPr>
        <w:t>In addition to the reallocation of historical equity, the change in ownership resulted in an increase to deferred tax assets and additional paid-in capital of $0.1 million for the three months ended March 31, 2026 and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Note 9. Stockholders’ Equity</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APAM - Stockholders’ Equity</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APAM had the following authorized and outstanding equity as of March 31, 2026 and December 31, 2025:</w:t>
      </w:r>
    </w:p>
    <w:p>
      <w:pPr>
        <w:spacing w:after="0" w:line="37"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b w:val="1"/>
          <w:bCs w:val="1"/>
          <w:color w:val="auto"/>
        </w:rPr>
        <w:t>Outstanding</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3380" w:type="dxa"/>
            <w:vAlign w:val="bottom"/>
          </w:tcPr>
          <w:p>
            <w:pPr>
              <w:spacing w:after="0"/>
              <w:rPr>
                <w:sz w:val="13"/>
                <w:szCs w:val="13"/>
                <w:color w:val="auto"/>
              </w:rPr>
            </w:pPr>
          </w:p>
        </w:tc>
        <w:tc>
          <w:tcPr>
            <w:tcW w:w="1600" w:type="dxa"/>
            <w:vAlign w:val="bottom"/>
            <w:gridSpan w:val="2"/>
            <w:vMerge w:val="restart"/>
          </w:tcPr>
          <w:p>
            <w:pPr>
              <w:ind w:left="360"/>
              <w:spacing w:after="0"/>
              <w:rPr>
                <w:sz w:val="20"/>
                <w:szCs w:val="20"/>
                <w:color w:val="auto"/>
              </w:rPr>
            </w:pPr>
            <w:r>
              <w:rPr>
                <w:rFonts w:ascii="Times New Roman" w:cs="Times New Roman" w:eastAsia="Times New Roman" w:hAnsi="Times New Roman"/>
                <w:sz w:val="16"/>
                <w:szCs w:val="16"/>
                <w:b w:val="1"/>
                <w:bCs w:val="1"/>
                <w:color w:val="auto"/>
              </w:rPr>
              <w:t>Authorized</w:t>
            </w:r>
          </w:p>
        </w:tc>
        <w:tc>
          <w:tcPr>
            <w:tcW w:w="1780" w:type="dxa"/>
            <w:vAlign w:val="bottom"/>
            <w:tcBorders>
              <w:top w:val="single" w:sz="8" w:color="auto"/>
            </w:tcBorders>
            <w:gridSpan w:val="2"/>
            <w:vMerge w:val="restart"/>
          </w:tcPr>
          <w:p>
            <w:pPr>
              <w:ind w:left="100"/>
              <w:spacing w:after="0"/>
              <w:rPr>
                <w:sz w:val="20"/>
                <w:szCs w:val="20"/>
                <w:color w:val="auto"/>
              </w:rPr>
            </w:pPr>
            <w:r>
              <w:rPr>
                <w:rFonts w:ascii="Times New Roman" w:cs="Times New Roman" w:eastAsia="Times New Roman" w:hAnsi="Times New Roman"/>
                <w:sz w:val="16"/>
                <w:szCs w:val="16"/>
                <w:b w:val="1"/>
                <w:bCs w:val="1"/>
                <w:color w:val="auto"/>
              </w:rPr>
              <w:t>As of March 31, 2026</w:t>
            </w:r>
          </w:p>
        </w:tc>
        <w:tc>
          <w:tcPr>
            <w:tcW w:w="1580" w:type="dxa"/>
            <w:vAlign w:val="bottom"/>
            <w:tcBorders>
              <w:top w:val="single" w:sz="8" w:color="auto"/>
            </w:tcBorders>
          </w:tcPr>
          <w:p>
            <w:pPr>
              <w:jc w:val="right"/>
              <w:ind w:right="39"/>
              <w:spacing w:after="0" w:line="155" w:lineRule="exact"/>
              <w:rPr>
                <w:sz w:val="20"/>
                <w:szCs w:val="20"/>
                <w:color w:val="auto"/>
              </w:rPr>
            </w:pPr>
            <w:r>
              <w:rPr>
                <w:rFonts w:ascii="Times New Roman" w:cs="Times New Roman" w:eastAsia="Times New Roman" w:hAnsi="Times New Roman"/>
                <w:sz w:val="16"/>
                <w:szCs w:val="16"/>
                <w:b w:val="1"/>
                <w:bCs w:val="1"/>
                <w:color w:val="auto"/>
              </w:rPr>
              <w:t>As of December 31,</w:t>
            </w:r>
          </w:p>
        </w:tc>
        <w:tc>
          <w:tcPr>
            <w:tcW w:w="160" w:type="dxa"/>
            <w:vAlign w:val="bottom"/>
          </w:tcPr>
          <w:p>
            <w:pPr>
              <w:spacing w:after="0"/>
              <w:rPr>
                <w:sz w:val="13"/>
                <w:szCs w:val="13"/>
                <w:color w:val="auto"/>
              </w:rPr>
            </w:pPr>
          </w:p>
        </w:tc>
        <w:tc>
          <w:tcPr>
            <w:tcW w:w="132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5"/>
              </w:rPr>
              <w:t xml:space="preserve">Voting Rights </w:t>
            </w:r>
            <w:r>
              <w:rPr>
                <w:rFonts w:ascii="Times New Roman" w:cs="Times New Roman" w:eastAsia="Times New Roman" w:hAnsi="Times New Roman"/>
                <w:sz w:val="21"/>
                <w:szCs w:val="21"/>
                <w:color w:val="auto"/>
                <w:w w:val="95"/>
                <w:vertAlign w:val="superscript"/>
              </w:rPr>
              <w:t>(1)</w:t>
            </w:r>
          </w:p>
        </w:tc>
        <w:tc>
          <w:tcPr>
            <w:tcW w:w="140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Economic Rights</w:t>
            </w:r>
          </w:p>
        </w:tc>
        <w:tc>
          <w:tcPr>
            <w:tcW w:w="0" w:type="dxa"/>
            <w:vAlign w:val="bottom"/>
          </w:tcPr>
          <w:p>
            <w:pPr>
              <w:spacing w:after="0"/>
              <w:rPr>
                <w:sz w:val="1"/>
                <w:szCs w:val="1"/>
                <w:color w:val="auto"/>
              </w:rPr>
            </w:pPr>
          </w:p>
        </w:tc>
      </w:tr>
      <w:tr>
        <w:trPr>
          <w:trHeight w:val="216"/>
        </w:trPr>
        <w:tc>
          <w:tcPr>
            <w:tcW w:w="3380" w:type="dxa"/>
            <w:vAlign w:val="bottom"/>
          </w:tcPr>
          <w:p>
            <w:pPr>
              <w:spacing w:after="0"/>
              <w:rPr>
                <w:sz w:val="18"/>
                <w:szCs w:val="18"/>
                <w:color w:val="auto"/>
              </w:rPr>
            </w:pPr>
          </w:p>
        </w:tc>
        <w:tc>
          <w:tcPr>
            <w:tcW w:w="1600" w:type="dxa"/>
            <w:vAlign w:val="bottom"/>
            <w:gridSpan w:val="2"/>
            <w:vMerge w:val="continue"/>
          </w:tcPr>
          <w:p>
            <w:pPr>
              <w:spacing w:after="0"/>
              <w:rPr>
                <w:sz w:val="18"/>
                <w:szCs w:val="18"/>
                <w:color w:val="auto"/>
              </w:rPr>
            </w:pPr>
          </w:p>
        </w:tc>
        <w:tc>
          <w:tcPr>
            <w:tcW w:w="1780" w:type="dxa"/>
            <w:vAlign w:val="bottom"/>
            <w:gridSpan w:val="2"/>
            <w:vMerge w:val="continue"/>
          </w:tcPr>
          <w:p>
            <w:pPr>
              <w:spacing w:after="0"/>
              <w:rPr>
                <w:sz w:val="18"/>
                <w:szCs w:val="18"/>
                <w:color w:val="auto"/>
              </w:rPr>
            </w:pPr>
          </w:p>
        </w:tc>
        <w:tc>
          <w:tcPr>
            <w:tcW w:w="1580" w:type="dxa"/>
            <w:vAlign w:val="bottom"/>
          </w:tcPr>
          <w:p>
            <w:pPr>
              <w:jc w:val="right"/>
              <w:ind w:right="559"/>
              <w:spacing w:after="0"/>
              <w:rPr>
                <w:sz w:val="20"/>
                <w:szCs w:val="20"/>
                <w:color w:val="auto"/>
              </w:rPr>
            </w:pPr>
            <w:r>
              <w:rPr>
                <w:rFonts w:ascii="Times New Roman" w:cs="Times New Roman" w:eastAsia="Times New Roman" w:hAnsi="Times New Roman"/>
                <w:sz w:val="16"/>
                <w:szCs w:val="16"/>
                <w:b w:val="1"/>
                <w:bCs w:val="1"/>
                <w:color w:val="auto"/>
              </w:rPr>
              <w:t>2025</w:t>
            </w:r>
          </w:p>
        </w:tc>
        <w:tc>
          <w:tcPr>
            <w:tcW w:w="160" w:type="dxa"/>
            <w:vAlign w:val="bottom"/>
          </w:tcPr>
          <w:p>
            <w:pPr>
              <w:spacing w:after="0"/>
              <w:rPr>
                <w:sz w:val="18"/>
                <w:szCs w:val="18"/>
                <w:color w:val="auto"/>
              </w:rPr>
            </w:pPr>
          </w:p>
        </w:tc>
        <w:tc>
          <w:tcPr>
            <w:tcW w:w="1320" w:type="dxa"/>
            <w:vAlign w:val="bottom"/>
            <w:gridSpan w:val="2"/>
            <w:vMerge w:val="continue"/>
          </w:tcPr>
          <w:p>
            <w:pPr>
              <w:spacing w:after="0"/>
              <w:rPr>
                <w:sz w:val="18"/>
                <w:szCs w:val="18"/>
                <w:color w:val="auto"/>
              </w:rPr>
            </w:pPr>
          </w:p>
        </w:tc>
        <w:tc>
          <w:tcPr>
            <w:tcW w:w="14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33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Common shares</w:t>
            </w:r>
          </w:p>
        </w:tc>
        <w:tc>
          <w:tcPr>
            <w:tcW w:w="15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66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58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2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40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338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Class A, par value $0.01 per share</w:t>
            </w: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500,000,000</w:t>
            </w:r>
          </w:p>
        </w:tc>
        <w:tc>
          <w:tcPr>
            <w:tcW w:w="10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70,993,257</w:t>
            </w:r>
          </w:p>
        </w:tc>
        <w:tc>
          <w:tcPr>
            <w:tcW w:w="12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70,472,750</w:t>
            </w:r>
          </w:p>
        </w:tc>
        <w:tc>
          <w:tcPr>
            <w:tcW w:w="160" w:type="dxa"/>
            <w:vAlign w:val="bottom"/>
          </w:tcPr>
          <w:p>
            <w:pPr>
              <w:spacing w:after="0"/>
              <w:rPr>
                <w:sz w:val="18"/>
                <w:szCs w:val="18"/>
                <w:color w:val="auto"/>
              </w:rPr>
            </w:pPr>
          </w:p>
        </w:tc>
        <w:tc>
          <w:tcPr>
            <w:tcW w:w="132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rPr>
              <w:t>1 vote per share</w:t>
            </w:r>
          </w:p>
        </w:tc>
        <w:tc>
          <w:tcPr>
            <w:tcW w:w="14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Proportionate</w:t>
            </w:r>
          </w:p>
        </w:tc>
        <w:tc>
          <w:tcPr>
            <w:tcW w:w="0" w:type="dxa"/>
            <w:vAlign w:val="bottom"/>
          </w:tcPr>
          <w:p>
            <w:pPr>
              <w:spacing w:after="0"/>
              <w:rPr>
                <w:sz w:val="1"/>
                <w:szCs w:val="1"/>
                <w:color w:val="auto"/>
              </w:rPr>
            </w:pPr>
          </w:p>
        </w:tc>
      </w:tr>
      <w:tr>
        <w:trPr>
          <w:trHeight w:val="219"/>
        </w:trPr>
        <w:tc>
          <w:tcPr>
            <w:tcW w:w="33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Class B, par value $0.01 per share</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200,000,000</w:t>
            </w:r>
          </w:p>
        </w:tc>
        <w:tc>
          <w:tcPr>
            <w:tcW w:w="10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1,147,029</w:t>
            </w:r>
          </w:p>
        </w:tc>
        <w:tc>
          <w:tcPr>
            <w:tcW w:w="12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1,137,929</w:t>
            </w:r>
          </w:p>
        </w:tc>
        <w:tc>
          <w:tcPr>
            <w:tcW w:w="16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6"/>
                <w:szCs w:val="16"/>
                <w:color w:val="auto"/>
              </w:rPr>
              <w:t>1 vote per share</w:t>
            </w:r>
          </w:p>
        </w:tc>
        <w:tc>
          <w:tcPr>
            <w:tcW w:w="14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None</w:t>
            </w:r>
          </w:p>
        </w:tc>
        <w:tc>
          <w:tcPr>
            <w:tcW w:w="0" w:type="dxa"/>
            <w:vAlign w:val="bottom"/>
          </w:tcPr>
          <w:p>
            <w:pPr>
              <w:spacing w:after="0"/>
              <w:rPr>
                <w:sz w:val="1"/>
                <w:szCs w:val="1"/>
                <w:color w:val="auto"/>
              </w:rPr>
            </w:pPr>
          </w:p>
        </w:tc>
      </w:tr>
      <w:tr>
        <w:trPr>
          <w:trHeight w:val="210"/>
        </w:trPr>
        <w:tc>
          <w:tcPr>
            <w:tcW w:w="338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Class C, par value $0.01 per share</w:t>
            </w: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400,000,000</w:t>
            </w:r>
          </w:p>
        </w:tc>
        <w:tc>
          <w:tcPr>
            <w:tcW w:w="10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8,917,476</w:t>
            </w:r>
          </w:p>
        </w:tc>
        <w:tc>
          <w:tcPr>
            <w:tcW w:w="12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9,077,590</w:t>
            </w:r>
          </w:p>
        </w:tc>
        <w:tc>
          <w:tcPr>
            <w:tcW w:w="160" w:type="dxa"/>
            <w:vAlign w:val="bottom"/>
          </w:tcPr>
          <w:p>
            <w:pPr>
              <w:spacing w:after="0"/>
              <w:rPr>
                <w:sz w:val="18"/>
                <w:szCs w:val="18"/>
                <w:color w:val="auto"/>
              </w:rPr>
            </w:pPr>
          </w:p>
        </w:tc>
        <w:tc>
          <w:tcPr>
            <w:tcW w:w="132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rPr>
              <w:t>1 vote per share</w:t>
            </w:r>
          </w:p>
        </w:tc>
        <w:tc>
          <w:tcPr>
            <w:tcW w:w="14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None</w:t>
            </w:r>
          </w:p>
        </w:tc>
        <w:tc>
          <w:tcPr>
            <w:tcW w:w="0" w:type="dxa"/>
            <w:vAlign w:val="bottom"/>
          </w:tcPr>
          <w:p>
            <w:pPr>
              <w:spacing w:after="0"/>
              <w:rPr>
                <w:sz w:val="1"/>
                <w:szCs w:val="1"/>
                <w:color w:val="auto"/>
              </w:rPr>
            </w:pPr>
          </w:p>
        </w:tc>
      </w:tr>
    </w:tbl>
    <w:p>
      <w:pPr>
        <w:spacing w:after="0" w:line="104" w:lineRule="exact"/>
        <w:rPr>
          <w:sz w:val="20"/>
          <w:szCs w:val="20"/>
          <w:color w:val="auto"/>
        </w:rPr>
      </w:pPr>
    </w:p>
    <w:p>
      <w:pPr>
        <w:ind w:left="180" w:right="160" w:hanging="154"/>
        <w:spacing w:after="0" w:line="228" w:lineRule="auto"/>
        <w:tabs>
          <w:tab w:leader="none" w:pos="163" w:val="left"/>
        </w:tabs>
        <w:numPr>
          <w:ilvl w:val="0"/>
          <w:numId w:val="9"/>
        </w:numPr>
        <w:rPr>
          <w:rFonts w:ascii="Times New Roman" w:cs="Times New Roman" w:eastAsia="Times New Roman" w:hAnsi="Times New Roman"/>
          <w:sz w:val="17"/>
          <w:szCs w:val="17"/>
          <w:color w:val="auto"/>
          <w:vertAlign w:val="superscript"/>
        </w:rPr>
      </w:pPr>
      <w:r>
        <w:rPr>
          <w:rFonts w:ascii="Times New Roman" w:cs="Times New Roman" w:eastAsia="Times New Roman" w:hAnsi="Times New Roman"/>
          <w:sz w:val="13"/>
          <w:szCs w:val="13"/>
          <w:color w:val="auto"/>
        </w:rPr>
        <w:t>The Company’s employees to whom Artisan has granted equity have entered into a stockholders agreement with respect to all shares of APAM common stock they have acquired from the Company and any shares they may acquire from the Company in the future, pursuant to which they granted an irrevocable voting proxy to a Stockholders Committee. As of March 31, 2026, Artisan’s employees held 4,930,348 restricted shares of Class A common stock and all 1,147,029 outstanding shares of Class B common stock, all of which were subject to the agreement.</w:t>
      </w:r>
    </w:p>
    <w:p>
      <w:pPr>
        <w:spacing w:after="0" w:line="255" w:lineRule="exact"/>
        <w:rPr>
          <w:sz w:val="20"/>
          <w:szCs w:val="20"/>
          <w:color w:val="auto"/>
        </w:rPr>
      </w:pPr>
    </w:p>
    <w:p>
      <w:pPr>
        <w:jc w:val="both"/>
        <w:ind w:right="140"/>
        <w:spacing w:after="0" w:line="272" w:lineRule="auto"/>
        <w:rPr>
          <w:sz w:val="20"/>
          <w:szCs w:val="20"/>
          <w:color w:val="auto"/>
        </w:rPr>
      </w:pPr>
      <w:r>
        <w:rPr>
          <w:rFonts w:ascii="Times New Roman" w:cs="Times New Roman" w:eastAsia="Times New Roman" w:hAnsi="Times New Roman"/>
          <w:sz w:val="16"/>
          <w:szCs w:val="16"/>
          <w:color w:val="auto"/>
        </w:rPr>
        <w:t>APAM is dependent on cash generated by Holdings to fund any dividends. Generally, Holdings will make distributions to all of its partners, including APAM, based on the proportionate share of ownership each has in Holdings. APAM will fund dividends to its stockholders from its proportionate share of those distributions after provision for its taxes and other obligations. APAM declared and paid the following dividends per share during the three months ended March 31, 2026 and 2025:</w:t>
      </w:r>
    </w:p>
    <w:p>
      <w:pPr>
        <w:spacing w:after="0" w:line="101"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3900" w:type="dxa"/>
            <w:vAlign w:val="bottom"/>
            <w:gridSpan w:val="2"/>
          </w:tcPr>
          <w:p>
            <w:pPr>
              <w:ind w:left="1300"/>
              <w:spacing w:after="0"/>
              <w:rPr>
                <w:sz w:val="20"/>
                <w:szCs w:val="20"/>
                <w:color w:val="auto"/>
              </w:rPr>
            </w:pPr>
            <w:r>
              <w:rPr>
                <w:rFonts w:ascii="Times New Roman" w:cs="Times New Roman" w:eastAsia="Times New Roman" w:hAnsi="Times New Roman"/>
                <w:sz w:val="16"/>
                <w:szCs w:val="16"/>
                <w:b w:val="1"/>
                <w:bCs w:val="1"/>
                <w:color w:val="auto"/>
              </w:rPr>
              <w:t>Type of Dividend</w:t>
            </w:r>
          </w:p>
        </w:tc>
        <w:tc>
          <w:tcPr>
            <w:tcW w:w="3380" w:type="dxa"/>
            <w:vAlign w:val="bottom"/>
            <w:gridSpan w:val="2"/>
          </w:tcPr>
          <w:p>
            <w:pPr>
              <w:ind w:left="1160"/>
              <w:spacing w:after="0"/>
              <w:rPr>
                <w:sz w:val="20"/>
                <w:szCs w:val="20"/>
                <w:color w:val="auto"/>
              </w:rPr>
            </w:pPr>
            <w:r>
              <w:rPr>
                <w:rFonts w:ascii="Times New Roman" w:cs="Times New Roman" w:eastAsia="Times New Roman" w:hAnsi="Times New Roman"/>
                <w:sz w:val="16"/>
                <w:szCs w:val="16"/>
                <w:b w:val="1"/>
                <w:bCs w:val="1"/>
                <w:color w:val="auto"/>
              </w:rPr>
              <w:t>Class of Stock</w:t>
            </w:r>
          </w:p>
        </w:tc>
        <w:tc>
          <w:tcPr>
            <w:tcW w:w="340" w:type="dxa"/>
            <w:vAlign w:val="bottom"/>
          </w:tcPr>
          <w:p>
            <w:pPr>
              <w:spacing w:after="0"/>
              <w:rPr>
                <w:sz w:val="18"/>
                <w:szCs w:val="18"/>
                <w:color w:val="auto"/>
              </w:rPr>
            </w:pPr>
          </w:p>
        </w:tc>
        <w:tc>
          <w:tcPr>
            <w:tcW w:w="3620" w:type="dxa"/>
            <w:vAlign w:val="bottom"/>
            <w:gridSpan w:val="4"/>
          </w:tcPr>
          <w:p>
            <w:pPr>
              <w:jc w:val="right"/>
              <w:ind w:right="519"/>
              <w:spacing w:after="0"/>
              <w:rPr>
                <w:sz w:val="20"/>
                <w:szCs w:val="20"/>
                <w:color w:val="auto"/>
              </w:rPr>
            </w:pPr>
            <w:r>
              <w:rPr>
                <w:rFonts w:ascii="Times New Roman" w:cs="Times New Roman" w:eastAsia="Times New Roman" w:hAnsi="Times New Roman"/>
                <w:sz w:val="16"/>
                <w:szCs w:val="16"/>
                <w:b w:val="1"/>
                <w:bCs w:val="1"/>
                <w:color w:val="auto"/>
              </w:rPr>
              <w:t>For the Three Months Ended March 31,</w:t>
            </w:r>
          </w:p>
        </w:tc>
      </w:tr>
      <w:tr>
        <w:trPr>
          <w:trHeight w:val="211"/>
        </w:trPr>
        <w:tc>
          <w:tcPr>
            <w:tcW w:w="3780" w:type="dxa"/>
            <w:vAlign w:val="bottom"/>
            <w:tcBorders>
              <w:top w:val="single" w:sz="8" w:color="auto"/>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3260" w:type="dxa"/>
            <w:vAlign w:val="bottom"/>
            <w:tcBorders>
              <w:top w:val="single" w:sz="8" w:color="auto"/>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580" w:type="dxa"/>
            <w:vAlign w:val="bottom"/>
            <w:tcBorders>
              <w:top w:val="single" w:sz="8" w:color="auto"/>
              <w:bottom w:val="single" w:sz="8" w:color="auto"/>
            </w:tcBorders>
          </w:tcPr>
          <w:p>
            <w:pPr>
              <w:jc w:val="right"/>
              <w:ind w:right="719"/>
              <w:spacing w:after="0"/>
              <w:rPr>
                <w:sz w:val="20"/>
                <w:szCs w:val="20"/>
                <w:color w:val="auto"/>
              </w:rPr>
            </w:pPr>
            <w:r>
              <w:rPr>
                <w:rFonts w:ascii="Times New Roman" w:cs="Times New Roman" w:eastAsia="Times New Roman" w:hAnsi="Times New Roman"/>
                <w:sz w:val="16"/>
                <w:szCs w:val="16"/>
                <w:b w:val="1"/>
                <w:bCs w:val="1"/>
                <w:color w:val="auto"/>
              </w:rPr>
              <w:t>2026</w:t>
            </w:r>
          </w:p>
        </w:tc>
        <w:tc>
          <w:tcPr>
            <w:tcW w:w="120" w:type="dxa"/>
            <w:vAlign w:val="bottom"/>
            <w:tcBorders>
              <w:top w:val="single" w:sz="8" w:color="auto"/>
              <w:bottom w:val="single" w:sz="8" w:color="CCEEFF"/>
            </w:tcBorders>
          </w:tcPr>
          <w:p>
            <w:pPr>
              <w:spacing w:after="0"/>
              <w:rPr>
                <w:sz w:val="18"/>
                <w:szCs w:val="18"/>
                <w:color w:val="auto"/>
              </w:rPr>
            </w:pPr>
          </w:p>
        </w:tc>
        <w:tc>
          <w:tcPr>
            <w:tcW w:w="460" w:type="dxa"/>
            <w:vAlign w:val="bottom"/>
            <w:tcBorders>
              <w:top w:val="single" w:sz="8" w:color="auto"/>
              <w:bottom w:val="single" w:sz="8" w:color="auto"/>
            </w:tcBorders>
          </w:tcPr>
          <w:p>
            <w:pPr>
              <w:spacing w:after="0"/>
              <w:rPr>
                <w:sz w:val="18"/>
                <w:szCs w:val="18"/>
                <w:color w:val="auto"/>
              </w:rPr>
            </w:pPr>
          </w:p>
        </w:tc>
        <w:tc>
          <w:tcPr>
            <w:tcW w:w="1460" w:type="dxa"/>
            <w:vAlign w:val="bottom"/>
            <w:tcBorders>
              <w:top w:val="single" w:sz="8" w:color="auto"/>
              <w:bottom w:val="single" w:sz="8" w:color="auto"/>
            </w:tcBorders>
          </w:tcPr>
          <w:p>
            <w:pPr>
              <w:jc w:val="right"/>
              <w:ind w:right="719"/>
              <w:spacing w:after="0"/>
              <w:rPr>
                <w:sz w:val="20"/>
                <w:szCs w:val="20"/>
                <w:color w:val="auto"/>
              </w:rPr>
            </w:pPr>
            <w:r>
              <w:rPr>
                <w:rFonts w:ascii="Times New Roman" w:cs="Times New Roman" w:eastAsia="Times New Roman" w:hAnsi="Times New Roman"/>
                <w:sz w:val="16"/>
                <w:szCs w:val="16"/>
                <w:b w:val="1"/>
                <w:bCs w:val="1"/>
                <w:color w:val="auto"/>
              </w:rPr>
              <w:t>2025</w:t>
            </w:r>
          </w:p>
        </w:tc>
      </w:tr>
      <w:tr>
        <w:trPr>
          <w:trHeight w:val="211"/>
        </w:trPr>
        <w:tc>
          <w:tcPr>
            <w:tcW w:w="39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Quarterly</w:t>
            </w:r>
          </w:p>
        </w:tc>
        <w:tc>
          <w:tcPr>
            <w:tcW w:w="33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Class A Common</w:t>
            </w:r>
          </w:p>
        </w:tc>
        <w:tc>
          <w:tcPr>
            <w:tcW w:w="3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1.01</w:t>
            </w: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jc w:val="right"/>
              <w:ind w:right="279"/>
              <w:spacing w:after="0"/>
              <w:rPr>
                <w:sz w:val="20"/>
                <w:szCs w:val="20"/>
                <w:color w:val="auto"/>
              </w:rPr>
            </w:pPr>
            <w:r>
              <w:rPr>
                <w:rFonts w:ascii="Times New Roman" w:cs="Times New Roman" w:eastAsia="Times New Roman" w:hAnsi="Times New Roman"/>
                <w:sz w:val="16"/>
                <w:szCs w:val="16"/>
                <w:color w:val="auto"/>
                <w:w w:val="99"/>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0.84</w:t>
            </w:r>
          </w:p>
        </w:tc>
      </w:tr>
      <w:tr>
        <w:trPr>
          <w:trHeight w:val="210"/>
        </w:trPr>
        <w:tc>
          <w:tcPr>
            <w:tcW w:w="390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Special Annual</w:t>
            </w:r>
          </w:p>
        </w:tc>
        <w:tc>
          <w:tcPr>
            <w:tcW w:w="338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Class A Common</w:t>
            </w:r>
          </w:p>
        </w:tc>
        <w:tc>
          <w:tcPr>
            <w:tcW w:w="3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0.57</w:t>
            </w:r>
          </w:p>
        </w:tc>
        <w:tc>
          <w:tcPr>
            <w:tcW w:w="120" w:type="dxa"/>
            <w:vAlign w:val="bottom"/>
          </w:tcPr>
          <w:p>
            <w:pPr>
              <w:spacing w:after="0"/>
              <w:rPr>
                <w:sz w:val="18"/>
                <w:szCs w:val="18"/>
                <w:color w:val="auto"/>
              </w:rPr>
            </w:pPr>
          </w:p>
        </w:tc>
        <w:tc>
          <w:tcPr>
            <w:tcW w:w="460" w:type="dxa"/>
            <w:vAlign w:val="bottom"/>
          </w:tcPr>
          <w:p>
            <w:pPr>
              <w:jc w:val="right"/>
              <w:ind w:right="279"/>
              <w:spacing w:after="0"/>
              <w:rPr>
                <w:sz w:val="20"/>
                <w:szCs w:val="20"/>
                <w:color w:val="auto"/>
              </w:rPr>
            </w:pPr>
            <w:r>
              <w:rPr>
                <w:rFonts w:ascii="Times New Roman" w:cs="Times New Roman" w:eastAsia="Times New Roman" w:hAnsi="Times New Roman"/>
                <w:sz w:val="16"/>
                <w:szCs w:val="16"/>
                <w:color w:val="auto"/>
                <w:w w:val="99"/>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0.50</w:t>
            </w: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following table summarizes APAM’s stock transactions for the three months ended March 31, 2026:</w:t>
      </w:r>
    </w:p>
    <w:p>
      <w:pPr>
        <w:spacing w:after="0" w:line="24"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120" w:type="dxa"/>
            <w:vAlign w:val="bottom"/>
          </w:tcPr>
          <w:p>
            <w:pPr>
              <w:spacing w:after="0"/>
              <w:rPr>
                <w:sz w:val="16"/>
                <w:szCs w:val="16"/>
                <w:color w:val="auto"/>
              </w:rPr>
            </w:pPr>
          </w:p>
        </w:tc>
        <w:tc>
          <w:tcPr>
            <w:tcW w:w="156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w w:val="99"/>
              </w:rPr>
              <w:t>Total Stock</w:t>
            </w:r>
          </w:p>
        </w:tc>
        <w:tc>
          <w:tcPr>
            <w:tcW w:w="156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Class A Common</w:t>
            </w:r>
          </w:p>
        </w:tc>
        <w:tc>
          <w:tcPr>
            <w:tcW w:w="156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Class B Common</w:t>
            </w:r>
          </w:p>
        </w:tc>
        <w:tc>
          <w:tcPr>
            <w:tcW w:w="1440" w:type="dxa"/>
            <w:vAlign w:val="bottom"/>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Class C Common</w:t>
            </w:r>
          </w:p>
        </w:tc>
      </w:tr>
      <w:tr>
        <w:trPr>
          <w:trHeight w:val="216"/>
        </w:trPr>
        <w:tc>
          <w:tcPr>
            <w:tcW w:w="5120" w:type="dxa"/>
            <w:vAlign w:val="bottom"/>
          </w:tcPr>
          <w:p>
            <w:pPr>
              <w:spacing w:after="0"/>
              <w:rPr>
                <w:sz w:val="18"/>
                <w:szCs w:val="18"/>
                <w:color w:val="auto"/>
              </w:rPr>
            </w:pPr>
          </w:p>
        </w:tc>
        <w:tc>
          <w:tcPr>
            <w:tcW w:w="156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rPr>
              <w:t>Outstanding</w:t>
            </w:r>
          </w:p>
        </w:tc>
        <w:tc>
          <w:tcPr>
            <w:tcW w:w="1560" w:type="dxa"/>
            <w:vAlign w:val="bottom"/>
            <w:gridSpan w:val="2"/>
          </w:tcPr>
          <w:p>
            <w:pPr>
              <w:jc w:val="center"/>
              <w:ind w:right="120"/>
              <w:spacing w:after="0" w:line="216" w:lineRule="exact"/>
              <w:rPr>
                <w:sz w:val="20"/>
                <w:szCs w:val="20"/>
                <w:color w:val="auto"/>
              </w:rPr>
            </w:pPr>
            <w:r>
              <w:rPr>
                <w:rFonts w:ascii="Times New Roman" w:cs="Times New Roman" w:eastAsia="Times New Roman" w:hAnsi="Times New Roman"/>
                <w:sz w:val="16"/>
                <w:szCs w:val="16"/>
                <w:b w:val="1"/>
                <w:bCs w:val="1"/>
                <w:color w:val="auto"/>
                <w:w w:val="95"/>
              </w:rPr>
              <w:t xml:space="preserve">Stock </w:t>
            </w:r>
            <w:r>
              <w:rPr>
                <w:rFonts w:ascii="Times New Roman" w:cs="Times New Roman" w:eastAsia="Times New Roman" w:hAnsi="Times New Roman"/>
                <w:sz w:val="21"/>
                <w:szCs w:val="21"/>
                <w:color w:val="auto"/>
                <w:w w:val="95"/>
                <w:vertAlign w:val="superscript"/>
              </w:rPr>
              <w:t>(1)</w:t>
            </w:r>
          </w:p>
        </w:tc>
        <w:tc>
          <w:tcPr>
            <w:tcW w:w="156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Stock</w:t>
            </w:r>
          </w:p>
        </w:tc>
        <w:tc>
          <w:tcPr>
            <w:tcW w:w="1440" w:type="dxa"/>
            <w:vAlign w:val="bottom"/>
          </w:tcPr>
          <w:p>
            <w:pPr>
              <w:jc w:val="right"/>
              <w:ind w:right="439"/>
              <w:spacing w:after="0"/>
              <w:rPr>
                <w:sz w:val="20"/>
                <w:szCs w:val="20"/>
                <w:color w:val="auto"/>
              </w:rPr>
            </w:pPr>
            <w:r>
              <w:rPr>
                <w:rFonts w:ascii="Times New Roman" w:cs="Times New Roman" w:eastAsia="Times New Roman" w:hAnsi="Times New Roman"/>
                <w:sz w:val="16"/>
                <w:szCs w:val="16"/>
                <w:b w:val="1"/>
                <w:bCs w:val="1"/>
                <w:color w:val="auto"/>
              </w:rPr>
              <w:t>Stock</w:t>
            </w:r>
          </w:p>
        </w:tc>
      </w:tr>
      <w:tr>
        <w:trPr>
          <w:trHeight w:val="210"/>
        </w:trPr>
        <w:tc>
          <w:tcPr>
            <w:tcW w:w="51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Balance at December 31, 2025</w:t>
            </w:r>
          </w:p>
        </w:tc>
        <w:tc>
          <w:tcPr>
            <w:tcW w:w="1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80,688,269</w:t>
            </w:r>
          </w:p>
        </w:tc>
        <w:tc>
          <w:tcPr>
            <w:tcW w:w="120" w:type="dxa"/>
            <w:vAlign w:val="bottom"/>
            <w:tcBorders>
              <w:top w:val="single" w:sz="8" w:color="CCEEFF"/>
            </w:tcBorders>
            <w:shd w:val="clear" w:color="auto" w:fill="CCEEFF"/>
          </w:tcPr>
          <w:p>
            <w:pPr>
              <w:spacing w:after="0"/>
              <w:rPr>
                <w:sz w:val="18"/>
                <w:szCs w:val="18"/>
                <w:color w:val="auto"/>
              </w:rPr>
            </w:pPr>
          </w:p>
        </w:tc>
        <w:tc>
          <w:tcPr>
            <w:tcW w:w="1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70,472,750</w:t>
            </w:r>
          </w:p>
        </w:tc>
        <w:tc>
          <w:tcPr>
            <w:tcW w:w="120" w:type="dxa"/>
            <w:vAlign w:val="bottom"/>
            <w:tcBorders>
              <w:top w:val="single" w:sz="8" w:color="CCEEFF"/>
            </w:tcBorders>
            <w:shd w:val="clear" w:color="auto" w:fill="CCEEFF"/>
          </w:tcPr>
          <w:p>
            <w:pPr>
              <w:spacing w:after="0"/>
              <w:rPr>
                <w:sz w:val="18"/>
                <w:szCs w:val="18"/>
                <w:color w:val="auto"/>
              </w:rPr>
            </w:pPr>
          </w:p>
        </w:tc>
        <w:tc>
          <w:tcPr>
            <w:tcW w:w="1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1,137,929</w:t>
            </w:r>
          </w:p>
        </w:tc>
        <w:tc>
          <w:tcPr>
            <w:tcW w:w="120" w:type="dxa"/>
            <w:vAlign w:val="bottom"/>
            <w:tcBorders>
              <w:top w:val="single" w:sz="8" w:color="CCEEFF"/>
            </w:tcBorders>
            <w:shd w:val="clear" w:color="auto" w:fill="CCEEFF"/>
          </w:tcPr>
          <w:p>
            <w:pPr>
              <w:spacing w:after="0"/>
              <w:rPr>
                <w:sz w:val="18"/>
                <w:szCs w:val="18"/>
                <w:color w:val="auto"/>
              </w:rPr>
            </w:pPr>
          </w:p>
        </w:tc>
        <w:tc>
          <w:tcPr>
            <w:tcW w:w="1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9,077,590</w:t>
            </w:r>
          </w:p>
        </w:tc>
      </w:tr>
      <w:tr>
        <w:trPr>
          <w:trHeight w:val="213"/>
        </w:trPr>
        <w:tc>
          <w:tcPr>
            <w:tcW w:w="51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Holdings Common Unit Exchanges</w:t>
            </w:r>
          </w:p>
        </w:tc>
        <w:tc>
          <w:tcPr>
            <w:tcW w:w="156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160,114</w:t>
            </w:r>
          </w:p>
        </w:tc>
        <w:tc>
          <w:tcPr>
            <w:tcW w:w="120" w:type="dxa"/>
            <w:vAlign w:val="bottom"/>
          </w:tcPr>
          <w:p>
            <w:pPr>
              <w:spacing w:after="0"/>
              <w:rPr>
                <w:sz w:val="18"/>
                <w:szCs w:val="18"/>
                <w:color w:val="auto"/>
              </w:rPr>
            </w:pPr>
          </w:p>
        </w:tc>
        <w:tc>
          <w:tcPr>
            <w:tcW w:w="156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(160,114)</w:t>
            </w:r>
          </w:p>
        </w:tc>
      </w:tr>
      <w:tr>
        <w:trPr>
          <w:trHeight w:val="219"/>
        </w:trPr>
        <w:tc>
          <w:tcPr>
            <w:tcW w:w="5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Restricted Share Award Grants</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465,719</w:t>
            </w:r>
          </w:p>
        </w:tc>
        <w:tc>
          <w:tcPr>
            <w:tcW w:w="1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465,719</w:t>
            </w:r>
          </w:p>
        </w:tc>
        <w:tc>
          <w:tcPr>
            <w:tcW w:w="120" w:type="dxa"/>
            <w:vAlign w:val="bottom"/>
            <w:shd w:val="clear" w:color="auto" w:fill="CCEEFF"/>
          </w:tcPr>
          <w:p>
            <w:pPr>
              <w:spacing w:after="0"/>
              <w:rPr>
                <w:sz w:val="19"/>
                <w:szCs w:val="19"/>
                <w:color w:val="auto"/>
              </w:rPr>
            </w:pPr>
          </w:p>
        </w:tc>
        <w:tc>
          <w:tcPr>
            <w:tcW w:w="15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3"/>
        </w:trPr>
        <w:tc>
          <w:tcPr>
            <w:tcW w:w="51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Class B Unit Awards</w:t>
            </w: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9,100</w:t>
            </w:r>
          </w:p>
        </w:tc>
        <w:tc>
          <w:tcPr>
            <w:tcW w:w="120" w:type="dxa"/>
            <w:vAlign w:val="bottom"/>
          </w:tcPr>
          <w:p>
            <w:pPr>
              <w:spacing w:after="0"/>
              <w:rPr>
                <w:sz w:val="18"/>
                <w:szCs w:val="18"/>
                <w:color w:val="auto"/>
              </w:rPr>
            </w:pPr>
          </w:p>
        </w:tc>
        <w:tc>
          <w:tcPr>
            <w:tcW w:w="15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9,100</w:t>
            </w:r>
          </w:p>
        </w:tc>
        <w:tc>
          <w:tcPr>
            <w:tcW w:w="12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9"/>
        </w:trPr>
        <w:tc>
          <w:tcPr>
            <w:tcW w:w="5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Restricted Share Award Net Share Settlement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(101,771)</w:t>
            </w:r>
          </w:p>
        </w:tc>
        <w:tc>
          <w:tcPr>
            <w:tcW w:w="1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(101,771)</w:t>
            </w:r>
          </w:p>
        </w:tc>
        <w:tc>
          <w:tcPr>
            <w:tcW w:w="120" w:type="dxa"/>
            <w:vAlign w:val="bottom"/>
            <w:shd w:val="clear" w:color="auto" w:fill="CCEEFF"/>
          </w:tcPr>
          <w:p>
            <w:pPr>
              <w:spacing w:after="0"/>
              <w:rPr>
                <w:sz w:val="19"/>
                <w:szCs w:val="19"/>
                <w:color w:val="auto"/>
              </w:rPr>
            </w:pPr>
          </w:p>
        </w:tc>
        <w:tc>
          <w:tcPr>
            <w:tcW w:w="15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3"/>
        </w:trPr>
        <w:tc>
          <w:tcPr>
            <w:tcW w:w="51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Delivery of Shares Underlying RSUs and PSUs</w:t>
            </w: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752</w:t>
            </w:r>
          </w:p>
        </w:tc>
        <w:tc>
          <w:tcPr>
            <w:tcW w:w="12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752</w:t>
            </w:r>
          </w:p>
        </w:tc>
        <w:tc>
          <w:tcPr>
            <w:tcW w:w="120" w:type="dxa"/>
            <w:vAlign w:val="bottom"/>
          </w:tcPr>
          <w:p>
            <w:pPr>
              <w:spacing w:after="0"/>
              <w:rPr>
                <w:sz w:val="18"/>
                <w:szCs w:val="18"/>
                <w:color w:val="auto"/>
              </w:rPr>
            </w:pPr>
          </w:p>
        </w:tc>
        <w:tc>
          <w:tcPr>
            <w:tcW w:w="156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6"/>
        </w:trPr>
        <w:tc>
          <w:tcPr>
            <w:tcW w:w="5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Employee/Partner Terminations</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(4,307)</w:t>
            </w:r>
          </w:p>
        </w:tc>
        <w:tc>
          <w:tcPr>
            <w:tcW w:w="12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(4,307)</w:t>
            </w:r>
          </w:p>
        </w:tc>
        <w:tc>
          <w:tcPr>
            <w:tcW w:w="12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2"/>
        </w:trPr>
        <w:tc>
          <w:tcPr>
            <w:tcW w:w="512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Balance at March 31, 2026</w:t>
            </w:r>
          </w:p>
        </w:tc>
        <w:tc>
          <w:tcPr>
            <w:tcW w:w="1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81,057,762</w:t>
            </w:r>
          </w:p>
        </w:tc>
        <w:tc>
          <w:tcPr>
            <w:tcW w:w="120" w:type="dxa"/>
            <w:vAlign w:val="bottom"/>
          </w:tcPr>
          <w:p>
            <w:pPr>
              <w:spacing w:after="0"/>
              <w:rPr>
                <w:sz w:val="18"/>
                <w:szCs w:val="18"/>
                <w:color w:val="auto"/>
              </w:rPr>
            </w:pPr>
          </w:p>
        </w:tc>
        <w:tc>
          <w:tcPr>
            <w:tcW w:w="1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70,993,257</w:t>
            </w:r>
          </w:p>
        </w:tc>
        <w:tc>
          <w:tcPr>
            <w:tcW w:w="120" w:type="dxa"/>
            <w:vAlign w:val="bottom"/>
          </w:tcPr>
          <w:p>
            <w:pPr>
              <w:spacing w:after="0"/>
              <w:rPr>
                <w:sz w:val="18"/>
                <w:szCs w:val="18"/>
                <w:color w:val="auto"/>
              </w:rPr>
            </w:pPr>
          </w:p>
        </w:tc>
        <w:tc>
          <w:tcPr>
            <w:tcW w:w="1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1,147,029</w:t>
            </w:r>
          </w:p>
        </w:tc>
        <w:tc>
          <w:tcPr>
            <w:tcW w:w="120" w:type="dxa"/>
            <w:vAlign w:val="bottom"/>
          </w:tcPr>
          <w:p>
            <w:pPr>
              <w:spacing w:after="0"/>
              <w:rPr>
                <w:sz w:val="18"/>
                <w:szCs w:val="18"/>
                <w:color w:val="auto"/>
              </w:rPr>
            </w:pPr>
          </w:p>
        </w:tc>
        <w:tc>
          <w:tcPr>
            <w:tcW w:w="1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8,917,476</w:t>
            </w:r>
          </w:p>
        </w:tc>
      </w:tr>
      <w:tr>
        <w:trPr>
          <w:trHeight w:val="21"/>
        </w:trPr>
        <w:tc>
          <w:tcPr>
            <w:tcW w:w="512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bl>
    <w:p>
      <w:pPr>
        <w:spacing w:after="0" w:line="126" w:lineRule="exact"/>
        <w:rPr>
          <w:sz w:val="20"/>
          <w:szCs w:val="20"/>
          <w:color w:val="auto"/>
        </w:rPr>
      </w:pPr>
    </w:p>
    <w:p>
      <w:pPr>
        <w:ind w:left="20" w:right="300" w:firstLine="6"/>
        <w:spacing w:after="0" w:line="228" w:lineRule="auto"/>
        <w:tabs>
          <w:tab w:leader="none" w:pos="165" w:val="left"/>
        </w:tabs>
        <w:numPr>
          <w:ilvl w:val="0"/>
          <w:numId w:val="10"/>
        </w:numPr>
        <w:rPr>
          <w:rFonts w:ascii="Times New Roman" w:cs="Times New Roman" w:eastAsia="Times New Roman" w:hAnsi="Times New Roman"/>
          <w:sz w:val="17"/>
          <w:szCs w:val="17"/>
          <w:color w:val="auto"/>
          <w:vertAlign w:val="superscript"/>
        </w:rPr>
      </w:pPr>
      <w:r>
        <w:rPr>
          <w:rFonts w:ascii="Times New Roman" w:cs="Times New Roman" w:eastAsia="Times New Roman" w:hAnsi="Times New Roman"/>
          <w:sz w:val="13"/>
          <w:szCs w:val="13"/>
          <w:color w:val="auto"/>
        </w:rPr>
        <w:t>There were 418,476 and 378,968 restricted stock units outstanding at March 31, 2026 and December 31, 2025, respectively. In addition, there were 152,207 performance share units outstanding at March 31, 2026 and December 31, 2025. All 152,207 performance share units outstanding as of March 31, 2026 have met the required performance conditions for vesting, but remain outstanding subject to a qualifying retirement vesting condition.</w:t>
      </w:r>
    </w:p>
    <w:p>
      <w:pPr>
        <w:spacing w:after="0" w:line="322" w:lineRule="exact"/>
        <w:rPr>
          <w:sz w:val="20"/>
          <w:szCs w:val="20"/>
          <w:color w:val="auto"/>
        </w:rPr>
      </w:pPr>
    </w:p>
    <w:p>
      <w:pPr>
        <w:ind w:right="80"/>
        <w:spacing w:after="0" w:line="280" w:lineRule="auto"/>
        <w:rPr>
          <w:sz w:val="20"/>
          <w:szCs w:val="20"/>
          <w:color w:val="auto"/>
        </w:rPr>
      </w:pPr>
      <w:r>
        <w:rPr>
          <w:rFonts w:ascii="Times New Roman" w:cs="Times New Roman" w:eastAsia="Times New Roman" w:hAnsi="Times New Roman"/>
          <w:sz w:val="16"/>
          <w:szCs w:val="16"/>
          <w:color w:val="auto"/>
        </w:rPr>
        <w:t>Each Class A, Class B, Class D and Class E common unit of Holdings (together with the corresponding share of Class B or Class C common stock) is exchangeable for one share of Class A common stock. The corresponding shares of Class B and Class C common stock are immediately canceled upon any such exchange.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right="380"/>
        <w:spacing w:after="0" w:line="263" w:lineRule="auto"/>
        <w:rPr>
          <w:sz w:val="20"/>
          <w:szCs w:val="20"/>
          <w:color w:val="auto"/>
        </w:rPr>
      </w:pPr>
      <w:r>
        <w:rPr>
          <w:rFonts w:ascii="Times New Roman" w:cs="Times New Roman" w:eastAsia="Times New Roman" w:hAnsi="Times New Roman"/>
          <w:sz w:val="16"/>
          <w:szCs w:val="16"/>
          <w:color w:val="auto"/>
        </w:rPr>
        <w:t>Upon termination of employment with Artisan, an employee-partner’s Class B common units are exchanged for Class E common units and the corresponding shares of Class B common stock are canceled. APAM issues the former employee-partner a number of shares of Class C common stock equal to the former employee-partner’s number of Class E common units. Class E common units are exchangeable for Class A common stock subject to the same restrictions and limitations on exchange applicable to the other common units of Holdings.</w:t>
      </w:r>
    </w:p>
    <w:p>
      <w:pPr>
        <w:spacing w:after="0" w:line="8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Artisan Partners Holdings - Partners’ Equity</w:t>
      </w:r>
    </w:p>
    <w:p>
      <w:pPr>
        <w:spacing w:after="0" w:line="115" w:lineRule="exact"/>
        <w:rPr>
          <w:sz w:val="20"/>
          <w:szCs w:val="20"/>
          <w:color w:val="auto"/>
        </w:rPr>
      </w:pPr>
    </w:p>
    <w:p>
      <w:pPr>
        <w:ind w:right="80"/>
        <w:spacing w:after="0" w:line="272" w:lineRule="auto"/>
        <w:rPr>
          <w:sz w:val="20"/>
          <w:szCs w:val="20"/>
          <w:color w:val="auto"/>
        </w:rPr>
      </w:pPr>
      <w:r>
        <w:rPr>
          <w:rFonts w:ascii="Times New Roman" w:cs="Times New Roman" w:eastAsia="Times New Roman" w:hAnsi="Times New Roman"/>
          <w:sz w:val="16"/>
          <w:szCs w:val="16"/>
          <w:color w:val="auto"/>
        </w:rPr>
        <w:t>Holdings makes distributions of its net income to the holders of its partnership units for income taxes as required under the terms of the partnership agreement and also makes additional distributions under the terms of the partnership agreement as required. The distributions are recorded in the financial statements on the declaration date, or on the payment date in lieu of a declaration date. Holdings’ partnership distributions for the three months ended March 31, 2026 and 2025 were as follows:</w:t>
      </w:r>
    </w:p>
    <w:p>
      <w:pPr>
        <w:spacing w:after="0" w:line="101"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800" w:type="dxa"/>
            <w:vAlign w:val="bottom"/>
          </w:tcPr>
          <w:p>
            <w:pPr>
              <w:spacing w:after="0"/>
              <w:rPr>
                <w:sz w:val="18"/>
                <w:szCs w:val="18"/>
                <w:color w:val="auto"/>
              </w:rPr>
            </w:pPr>
          </w:p>
        </w:tc>
        <w:tc>
          <w:tcPr>
            <w:tcW w:w="3440" w:type="dxa"/>
            <w:vAlign w:val="bottom"/>
            <w:tcBorders>
              <w:bottom w:val="single" w:sz="8" w:color="auto"/>
            </w:tcBorders>
            <w:gridSpan w:val="5"/>
          </w:tcPr>
          <w:p>
            <w:pPr>
              <w:jc w:val="right"/>
              <w:ind w:right="259"/>
              <w:spacing w:after="0"/>
              <w:rPr>
                <w:sz w:val="20"/>
                <w:szCs w:val="20"/>
                <w:color w:val="auto"/>
              </w:rPr>
            </w:pPr>
            <w:r>
              <w:rPr>
                <w:rFonts w:ascii="Times New Roman" w:cs="Times New Roman" w:eastAsia="Times New Roman" w:hAnsi="Times New Roman"/>
                <w:sz w:val="16"/>
                <w:szCs w:val="16"/>
                <w:b w:val="1"/>
                <w:bCs w:val="1"/>
                <w:color w:val="auto"/>
              </w:rPr>
              <w:t>For the Three Months Ended March 31,</w:t>
            </w:r>
          </w:p>
        </w:tc>
      </w:tr>
      <w:tr>
        <w:trPr>
          <w:trHeight w:val="211"/>
        </w:trPr>
        <w:tc>
          <w:tcPr>
            <w:tcW w:w="7800" w:type="dxa"/>
            <w:vAlign w:val="bottom"/>
            <w:tcBorders>
              <w:bottom w:val="single" w:sz="8" w:color="CCEEFF"/>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2026</w:t>
            </w:r>
          </w:p>
        </w:tc>
        <w:tc>
          <w:tcPr>
            <w:tcW w:w="60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579"/>
              <w:spacing w:after="0"/>
              <w:rPr>
                <w:sz w:val="20"/>
                <w:szCs w:val="20"/>
                <w:color w:val="auto"/>
              </w:rPr>
            </w:pPr>
            <w:r>
              <w:rPr>
                <w:rFonts w:ascii="Times New Roman" w:cs="Times New Roman" w:eastAsia="Times New Roman" w:hAnsi="Times New Roman"/>
                <w:sz w:val="16"/>
                <w:szCs w:val="16"/>
                <w:b w:val="1"/>
                <w:bCs w:val="1"/>
                <w:color w:val="auto"/>
              </w:rPr>
              <w:t>2025</w:t>
            </w:r>
          </w:p>
        </w:tc>
      </w:tr>
      <w:tr>
        <w:trPr>
          <w:trHeight w:val="211"/>
        </w:trPr>
        <w:tc>
          <w:tcPr>
            <w:tcW w:w="78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Holdings Partnership Distributions to Limited Partners</w:t>
            </w:r>
          </w:p>
        </w:tc>
        <w:tc>
          <w:tcPr>
            <w:tcW w:w="1060" w:type="dxa"/>
            <w:vAlign w:val="bottom"/>
            <w:shd w:val="clear" w:color="auto" w:fill="CCEEFF"/>
          </w:tcPr>
          <w:p>
            <w:pPr>
              <w:jc w:val="right"/>
              <w:ind w:right="879"/>
              <w:spacing w:after="0"/>
              <w:rPr>
                <w:sz w:val="20"/>
                <w:szCs w:val="20"/>
                <w:color w:val="auto"/>
              </w:rPr>
            </w:pPr>
            <w:r>
              <w:rPr>
                <w:rFonts w:ascii="Times New Roman" w:cs="Times New Roman" w:eastAsia="Times New Roman" w:hAnsi="Times New Roman"/>
                <w:sz w:val="16"/>
                <w:szCs w:val="16"/>
                <w:color w:val="auto"/>
                <w:w w:val="99"/>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5,960</w:t>
            </w: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6,378</w:t>
            </w:r>
          </w:p>
        </w:tc>
      </w:tr>
      <w:tr>
        <w:trPr>
          <w:trHeight w:val="213"/>
        </w:trPr>
        <w:tc>
          <w:tcPr>
            <w:tcW w:w="780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Holdings Partnership Distributions to APAM</w:t>
            </w:r>
          </w:p>
        </w:tc>
        <w:tc>
          <w:tcPr>
            <w:tcW w:w="106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41,869</w:t>
            </w:r>
          </w:p>
        </w:tc>
        <w:tc>
          <w:tcPr>
            <w:tcW w:w="12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42,918</w:t>
            </w:r>
          </w:p>
        </w:tc>
      </w:tr>
      <w:tr>
        <w:trPr>
          <w:trHeight w:val="237"/>
        </w:trPr>
        <w:tc>
          <w:tcPr>
            <w:tcW w:w="780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6"/>
                <w:szCs w:val="16"/>
                <w:b w:val="1"/>
                <w:bCs w:val="1"/>
                <w:color w:val="auto"/>
              </w:rPr>
              <w:t>Total Holdings Partnership Distributions</w:t>
            </w:r>
          </w:p>
        </w:tc>
        <w:tc>
          <w:tcPr>
            <w:tcW w:w="1060" w:type="dxa"/>
            <w:vAlign w:val="bottom"/>
            <w:tcBorders>
              <w:bottom w:val="single" w:sz="8" w:color="auto"/>
            </w:tcBorders>
            <w:shd w:val="clear" w:color="auto" w:fill="CCEEFF"/>
          </w:tcPr>
          <w:p>
            <w:pPr>
              <w:jc w:val="right"/>
              <w:ind w:right="87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47,829</w:t>
            </w:r>
          </w:p>
        </w:tc>
        <w:tc>
          <w:tcPr>
            <w:tcW w:w="12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49,296</w:t>
            </w:r>
          </w:p>
        </w:tc>
      </w:tr>
      <w:tr>
        <w:trPr>
          <w:trHeight w:val="20"/>
        </w:trPr>
        <w:tc>
          <w:tcPr>
            <w:tcW w:w="780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r>
    </w:tbl>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Distributions to limited partners are recorded as a reduction to consolidated stockholders’ equity, while distributions to APAM are eliminated upon consolidation.</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Note 10. Revenue From Contracts with Customers</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following table presents a disaggregation of investment advisory revenue by type and vehicle for the three months ended March 31, 2026 and 2025:</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800" w:type="dxa"/>
            <w:vAlign w:val="bottom"/>
          </w:tcPr>
          <w:p>
            <w:pPr>
              <w:spacing w:after="0"/>
              <w:rPr>
                <w:sz w:val="18"/>
                <w:szCs w:val="18"/>
                <w:color w:val="auto"/>
              </w:rPr>
            </w:pPr>
          </w:p>
        </w:tc>
        <w:tc>
          <w:tcPr>
            <w:tcW w:w="3440" w:type="dxa"/>
            <w:vAlign w:val="bottom"/>
            <w:tcBorders>
              <w:bottom w:val="single" w:sz="8" w:color="auto"/>
            </w:tcBorders>
            <w:gridSpan w:val="5"/>
          </w:tcPr>
          <w:p>
            <w:pPr>
              <w:jc w:val="right"/>
              <w:ind w:right="259"/>
              <w:spacing w:after="0"/>
              <w:rPr>
                <w:sz w:val="20"/>
                <w:szCs w:val="20"/>
                <w:color w:val="auto"/>
              </w:rPr>
            </w:pPr>
            <w:r>
              <w:rPr>
                <w:rFonts w:ascii="Times New Roman" w:cs="Times New Roman" w:eastAsia="Times New Roman" w:hAnsi="Times New Roman"/>
                <w:sz w:val="16"/>
                <w:szCs w:val="16"/>
                <w:b w:val="1"/>
                <w:bCs w:val="1"/>
                <w:color w:val="auto"/>
              </w:rPr>
              <w:t>For the Three Months Ended March 31,</w:t>
            </w:r>
          </w:p>
        </w:tc>
      </w:tr>
      <w:tr>
        <w:trPr>
          <w:trHeight w:val="211"/>
        </w:trPr>
        <w:tc>
          <w:tcPr>
            <w:tcW w:w="7800" w:type="dxa"/>
            <w:vAlign w:val="bottom"/>
            <w:tcBorders>
              <w:bottom w:val="single" w:sz="8" w:color="CCEEFF"/>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2026</w:t>
            </w:r>
          </w:p>
        </w:tc>
        <w:tc>
          <w:tcPr>
            <w:tcW w:w="64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579"/>
              <w:spacing w:after="0"/>
              <w:rPr>
                <w:sz w:val="20"/>
                <w:szCs w:val="20"/>
                <w:color w:val="auto"/>
              </w:rPr>
            </w:pPr>
            <w:r>
              <w:rPr>
                <w:rFonts w:ascii="Times New Roman" w:cs="Times New Roman" w:eastAsia="Times New Roman" w:hAnsi="Times New Roman"/>
                <w:sz w:val="16"/>
                <w:szCs w:val="16"/>
                <w:b w:val="1"/>
                <w:bCs w:val="1"/>
                <w:color w:val="auto"/>
              </w:rPr>
              <w:t>2025</w:t>
            </w:r>
          </w:p>
        </w:tc>
      </w:tr>
      <w:tr>
        <w:trPr>
          <w:trHeight w:val="198"/>
        </w:trPr>
        <w:tc>
          <w:tcPr>
            <w:tcW w:w="7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i w:val="1"/>
                <w:iCs w:val="1"/>
                <w:color w:val="auto"/>
              </w:rPr>
              <w:t>Management fees</w:t>
            </w:r>
          </w:p>
        </w:tc>
        <w:tc>
          <w:tcPr>
            <w:tcW w:w="10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r>
      <w:tr>
        <w:trPr>
          <w:trHeight w:val="213"/>
        </w:trPr>
        <w:tc>
          <w:tcPr>
            <w:tcW w:w="78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Artisan Funds</w:t>
            </w:r>
          </w:p>
        </w:tc>
        <w:tc>
          <w:tcPr>
            <w:tcW w:w="1020" w:type="dxa"/>
            <w:vAlign w:val="bottom"/>
          </w:tcPr>
          <w:p>
            <w:pPr>
              <w:jc w:val="right"/>
              <w:ind w:right="839"/>
              <w:spacing w:after="0"/>
              <w:rPr>
                <w:sz w:val="20"/>
                <w:szCs w:val="20"/>
                <w:color w:val="auto"/>
              </w:rPr>
            </w:pPr>
            <w:r>
              <w:rPr>
                <w:rFonts w:ascii="Times New Roman" w:cs="Times New Roman" w:eastAsia="Times New Roman" w:hAnsi="Times New Roman"/>
                <w:sz w:val="16"/>
                <w:szCs w:val="16"/>
                <w:color w:val="auto"/>
                <w:w w:val="99"/>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177,064</w:t>
            </w:r>
          </w:p>
        </w:tc>
        <w:tc>
          <w:tcPr>
            <w:tcW w:w="120" w:type="dxa"/>
            <w:vAlign w:val="bottom"/>
          </w:tcPr>
          <w:p>
            <w:pPr>
              <w:spacing w:after="0"/>
              <w:rPr>
                <w:sz w:val="18"/>
                <w:szCs w:val="18"/>
                <w:color w:val="auto"/>
              </w:rPr>
            </w:pPr>
          </w:p>
        </w:tc>
        <w:tc>
          <w:tcPr>
            <w:tcW w:w="380" w:type="dxa"/>
            <w:vAlign w:val="bottom"/>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160,973</w:t>
            </w:r>
          </w:p>
        </w:tc>
      </w:tr>
      <w:tr>
        <w:trPr>
          <w:trHeight w:val="219"/>
        </w:trPr>
        <w:tc>
          <w:tcPr>
            <w:tcW w:w="78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Artisan Global Funds</w:t>
            </w:r>
          </w:p>
        </w:tc>
        <w:tc>
          <w:tcPr>
            <w:tcW w:w="102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15,835</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13,773</w:t>
            </w:r>
          </w:p>
        </w:tc>
      </w:tr>
      <w:tr>
        <w:trPr>
          <w:trHeight w:val="216"/>
        </w:trPr>
        <w:tc>
          <w:tcPr>
            <w:tcW w:w="7800" w:type="dxa"/>
            <w:vAlign w:val="bottom"/>
          </w:tcPr>
          <w:p>
            <w:pPr>
              <w:ind w:left="140"/>
              <w:spacing w:after="0" w:line="216" w:lineRule="exact"/>
              <w:rPr>
                <w:sz w:val="20"/>
                <w:szCs w:val="20"/>
                <w:color w:val="auto"/>
              </w:rPr>
            </w:pPr>
            <w:r>
              <w:rPr>
                <w:rFonts w:ascii="Times New Roman" w:cs="Times New Roman" w:eastAsia="Times New Roman" w:hAnsi="Times New Roman"/>
                <w:sz w:val="16"/>
                <w:szCs w:val="16"/>
                <w:color w:val="auto"/>
              </w:rPr>
              <w:t xml:space="preserve">Separate accounts and other </w:t>
            </w:r>
            <w:r>
              <w:rPr>
                <w:rFonts w:ascii="Times New Roman" w:cs="Times New Roman" w:eastAsia="Times New Roman" w:hAnsi="Times New Roman"/>
                <w:sz w:val="21"/>
                <w:szCs w:val="21"/>
                <w:color w:val="auto"/>
                <w:vertAlign w:val="superscript"/>
              </w:rPr>
              <w:t>(1)</w:t>
            </w:r>
          </w:p>
        </w:tc>
        <w:tc>
          <w:tcPr>
            <w:tcW w:w="10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109,909</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102,401</w:t>
            </w:r>
          </w:p>
        </w:tc>
      </w:tr>
      <w:tr>
        <w:trPr>
          <w:trHeight w:val="216"/>
        </w:trPr>
        <w:tc>
          <w:tcPr>
            <w:tcW w:w="7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i w:val="1"/>
                <w:iCs w:val="1"/>
                <w:color w:val="auto"/>
              </w:rPr>
              <w:t>Performance fees</w:t>
            </w:r>
          </w:p>
        </w:tc>
        <w:tc>
          <w:tcPr>
            <w:tcW w:w="10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r>
      <w:tr>
        <w:trPr>
          <w:trHeight w:val="216"/>
        </w:trPr>
        <w:tc>
          <w:tcPr>
            <w:tcW w:w="7800" w:type="dxa"/>
            <w:vAlign w:val="bottom"/>
          </w:tcPr>
          <w:p>
            <w:pPr>
              <w:ind w:left="140"/>
              <w:spacing w:after="0" w:line="216" w:lineRule="exact"/>
              <w:rPr>
                <w:sz w:val="20"/>
                <w:szCs w:val="20"/>
                <w:color w:val="auto"/>
              </w:rPr>
            </w:pPr>
            <w:r>
              <w:rPr>
                <w:rFonts w:ascii="Times New Roman" w:cs="Times New Roman" w:eastAsia="Times New Roman" w:hAnsi="Times New Roman"/>
                <w:sz w:val="16"/>
                <w:szCs w:val="16"/>
                <w:color w:val="auto"/>
              </w:rPr>
              <w:t xml:space="preserve">Separate accounts and other </w:t>
            </w:r>
            <w:r>
              <w:rPr>
                <w:rFonts w:ascii="Times New Roman" w:cs="Times New Roman" w:eastAsia="Times New Roman" w:hAnsi="Times New Roman"/>
                <w:sz w:val="21"/>
                <w:szCs w:val="21"/>
                <w:color w:val="auto"/>
                <w:vertAlign w:val="superscript"/>
              </w:rPr>
              <w:t>(1)</w:t>
            </w:r>
          </w:p>
        </w:tc>
        <w:tc>
          <w:tcPr>
            <w:tcW w:w="102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204</w:t>
            </w:r>
          </w:p>
        </w:tc>
        <w:tc>
          <w:tcPr>
            <w:tcW w:w="12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34"/>
        </w:trPr>
        <w:tc>
          <w:tcPr>
            <w:tcW w:w="7800" w:type="dxa"/>
            <w:vAlign w:val="bottom"/>
          </w:tcPr>
          <w:p>
            <w:pPr>
              <w:ind w:left="20"/>
              <w:spacing w:after="0" w:line="234" w:lineRule="exact"/>
              <w:rPr>
                <w:sz w:val="20"/>
                <w:szCs w:val="20"/>
                <w:color w:val="auto"/>
              </w:rPr>
            </w:pPr>
            <w:r>
              <w:rPr>
                <w:rFonts w:ascii="Times New Roman" w:cs="Times New Roman" w:eastAsia="Times New Roman" w:hAnsi="Times New Roman"/>
                <w:sz w:val="16"/>
                <w:szCs w:val="16"/>
                <w:b w:val="1"/>
                <w:bCs w:val="1"/>
                <w:color w:val="auto"/>
              </w:rPr>
              <w:t xml:space="preserve">Total revenues </w:t>
            </w:r>
            <w:r>
              <w:rPr>
                <w:rFonts w:ascii="Times New Roman" w:cs="Times New Roman" w:eastAsia="Times New Roman" w:hAnsi="Times New Roman"/>
                <w:sz w:val="21"/>
                <w:szCs w:val="21"/>
                <w:b w:val="1"/>
                <w:bCs w:val="1"/>
                <w:color w:val="auto"/>
                <w:vertAlign w:val="superscript"/>
              </w:rPr>
              <w:t>(2)</w:t>
            </w:r>
          </w:p>
        </w:tc>
        <w:tc>
          <w:tcPr>
            <w:tcW w:w="1020" w:type="dxa"/>
            <w:vAlign w:val="bottom"/>
          </w:tcPr>
          <w:p>
            <w:pPr>
              <w:jc w:val="right"/>
              <w:ind w:right="83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303,012</w:t>
            </w:r>
          </w:p>
        </w:tc>
        <w:tc>
          <w:tcPr>
            <w:tcW w:w="120" w:type="dxa"/>
            <w:vAlign w:val="bottom"/>
          </w:tcPr>
          <w:p>
            <w:pPr>
              <w:spacing w:after="0"/>
              <w:rPr>
                <w:sz w:val="20"/>
                <w:szCs w:val="20"/>
                <w:color w:val="auto"/>
              </w:rPr>
            </w:pPr>
          </w:p>
        </w:tc>
        <w:tc>
          <w:tcPr>
            <w:tcW w:w="380" w:type="dxa"/>
            <w:vAlign w:val="bottom"/>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277,147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-160655</wp:posOffset>
            </wp:positionV>
            <wp:extent cx="7132320" cy="16256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62560"/>
                    </a:xfrm>
                    <a:prstGeom prst="rect">
                      <a:avLst/>
                    </a:prstGeom>
                    <a:noFill/>
                  </pic:spPr>
                </pic:pic>
              </a:graphicData>
            </a:graphic>
          </wp:anchor>
        </w:drawing>
      </w:r>
    </w:p>
    <w:p>
      <w:pPr>
        <w:ind w:left="20" w:right="100" w:firstLine="6"/>
        <w:spacing w:after="0" w:line="225" w:lineRule="auto"/>
        <w:tabs>
          <w:tab w:leader="none" w:pos="165" w:val="left"/>
        </w:tabs>
        <w:numPr>
          <w:ilvl w:val="0"/>
          <w:numId w:val="11"/>
        </w:numPr>
        <w:rPr>
          <w:rFonts w:ascii="Times New Roman" w:cs="Times New Roman" w:eastAsia="Times New Roman" w:hAnsi="Times New Roman"/>
          <w:sz w:val="17"/>
          <w:szCs w:val="17"/>
          <w:color w:val="auto"/>
          <w:vertAlign w:val="superscript"/>
        </w:rPr>
      </w:pPr>
      <w:r>
        <w:rPr>
          <w:rFonts w:ascii="Times New Roman" w:cs="Times New Roman" w:eastAsia="Times New Roman" w:hAnsi="Times New Roman"/>
          <w:sz w:val="13"/>
          <w:szCs w:val="13"/>
          <w:color w:val="auto"/>
        </w:rPr>
        <w:t>Separate accounts and other revenue consists of fees earned from vehicles other than Artisan Funds or Artisan Global Funds, and therefore includes revenue earned from traditional separate accounts, Artisan-branded collective investment trusts and Artisan Private Funds, as well as from certain assets managed by the Credit team within custom, investor-driven mandates and certain strategies for which we provide model portfolios to managed account sponsors.</w:t>
      </w:r>
    </w:p>
    <w:p>
      <w:pPr>
        <w:spacing w:after="0" w:line="48" w:lineRule="exact"/>
        <w:rPr>
          <w:rFonts w:ascii="Times New Roman" w:cs="Times New Roman" w:eastAsia="Times New Roman" w:hAnsi="Times New Roman"/>
          <w:sz w:val="17"/>
          <w:szCs w:val="17"/>
          <w:color w:val="auto"/>
          <w:vertAlign w:val="superscript"/>
        </w:rPr>
      </w:pPr>
    </w:p>
    <w:p>
      <w:pPr>
        <w:ind w:left="160" w:hanging="134"/>
        <w:spacing w:after="0"/>
        <w:tabs>
          <w:tab w:leader="none" w:pos="160" w:val="left"/>
        </w:tabs>
        <w:numPr>
          <w:ilvl w:val="0"/>
          <w:numId w:val="11"/>
        </w:numPr>
        <w:rPr>
          <w:rFonts w:ascii="Times New Roman" w:cs="Times New Roman" w:eastAsia="Times New Roman" w:hAnsi="Times New Roman"/>
          <w:sz w:val="17"/>
          <w:szCs w:val="17"/>
          <w:color w:val="auto"/>
          <w:vertAlign w:val="superscript"/>
        </w:rPr>
      </w:pPr>
      <w:r>
        <w:rPr>
          <w:rFonts w:ascii="Times New Roman" w:cs="Times New Roman" w:eastAsia="Times New Roman" w:hAnsi="Times New Roman"/>
          <w:sz w:val="13"/>
          <w:szCs w:val="13"/>
          <w:color w:val="auto"/>
        </w:rPr>
        <w:t>All fees earned from consolidated investment products were eliminated upon consolidation and therefore are omitted from this table. See Note 15, “Related Party Transactions.”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4951095</wp:posOffset>
            </wp:positionH>
            <wp:positionV relativeFrom="paragraph">
              <wp:posOffset>-438785</wp:posOffset>
            </wp:positionV>
            <wp:extent cx="218567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2185670" cy="8255"/>
                    </a:xfrm>
                    <a:prstGeom prst="rect">
                      <a:avLst/>
                    </a:prstGeom>
                    <a:noFill/>
                  </pic:spPr>
                </pic:pic>
              </a:graphicData>
            </a:graphic>
          </wp:anchor>
        </w:drawing>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800" w:type="dxa"/>
            <w:vAlign w:val="bottom"/>
          </w:tcPr>
          <w:p>
            <w:pPr>
              <w:spacing w:after="0"/>
              <w:rPr>
                <w:sz w:val="20"/>
                <w:szCs w:val="20"/>
                <w:color w:val="auto"/>
              </w:rPr>
            </w:pPr>
            <w:r>
              <w:rPr>
                <w:rFonts w:ascii="Times New Roman" w:cs="Times New Roman" w:eastAsia="Times New Roman" w:hAnsi="Times New Roman"/>
                <w:sz w:val="16"/>
                <w:szCs w:val="16"/>
                <w:color w:val="auto"/>
              </w:rPr>
              <w:t>The following table presents the balances of receivables related to contracts with customers:</w:t>
            </w:r>
          </w:p>
        </w:tc>
        <w:tc>
          <w:tcPr>
            <w:tcW w:w="5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2"/>
        </w:trPr>
        <w:tc>
          <w:tcPr>
            <w:tcW w:w="7800" w:type="dxa"/>
            <w:vAlign w:val="bottom"/>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Customer</w:t>
            </w:r>
          </w:p>
        </w:tc>
        <w:tc>
          <w:tcPr>
            <w:tcW w:w="1780" w:type="dxa"/>
            <w:vAlign w:val="bottom"/>
            <w:gridSpan w:val="3"/>
            <w:vMerge w:val="restart"/>
          </w:tcPr>
          <w:p>
            <w:pPr>
              <w:ind w:left="100"/>
              <w:spacing w:after="0"/>
              <w:rPr>
                <w:sz w:val="20"/>
                <w:szCs w:val="20"/>
                <w:color w:val="auto"/>
              </w:rPr>
            </w:pPr>
            <w:r>
              <w:rPr>
                <w:rFonts w:ascii="Times New Roman" w:cs="Times New Roman" w:eastAsia="Times New Roman" w:hAnsi="Times New Roman"/>
                <w:sz w:val="16"/>
                <w:szCs w:val="16"/>
                <w:b w:val="1"/>
                <w:bCs w:val="1"/>
                <w:color w:val="auto"/>
              </w:rPr>
              <w:t>As of March 31, 2026</w:t>
            </w:r>
          </w:p>
        </w:tc>
        <w:tc>
          <w:tcPr>
            <w:tcW w:w="120" w:type="dxa"/>
            <w:vAlign w:val="bottom"/>
          </w:tcPr>
          <w:p>
            <w:pPr>
              <w:spacing w:after="0"/>
              <w:rPr>
                <w:sz w:val="15"/>
                <w:szCs w:val="15"/>
                <w:color w:val="auto"/>
              </w:rPr>
            </w:pPr>
          </w:p>
        </w:tc>
        <w:tc>
          <w:tcPr>
            <w:tcW w:w="1540" w:type="dxa"/>
            <w:vAlign w:val="bottom"/>
          </w:tcPr>
          <w:p>
            <w:pPr>
              <w:jc w:val="right"/>
              <w:ind w:right="79"/>
              <w:spacing w:after="0" w:line="181" w:lineRule="exact"/>
              <w:rPr>
                <w:sz w:val="20"/>
                <w:szCs w:val="20"/>
                <w:color w:val="auto"/>
              </w:rPr>
            </w:pPr>
            <w:r>
              <w:rPr>
                <w:rFonts w:ascii="Times New Roman" w:cs="Times New Roman" w:eastAsia="Times New Roman" w:hAnsi="Times New Roman"/>
                <w:sz w:val="16"/>
                <w:szCs w:val="16"/>
                <w:b w:val="1"/>
                <w:bCs w:val="1"/>
                <w:color w:val="auto"/>
              </w:rPr>
              <w:t>As of December 31,</w:t>
            </w:r>
          </w:p>
        </w:tc>
        <w:tc>
          <w:tcPr>
            <w:tcW w:w="0" w:type="dxa"/>
            <w:vAlign w:val="bottom"/>
          </w:tcPr>
          <w:p>
            <w:pPr>
              <w:spacing w:after="0"/>
              <w:rPr>
                <w:sz w:val="1"/>
                <w:szCs w:val="1"/>
                <w:color w:val="auto"/>
              </w:rPr>
            </w:pPr>
          </w:p>
        </w:tc>
      </w:tr>
      <w:tr>
        <w:trPr>
          <w:trHeight w:val="214"/>
        </w:trPr>
        <w:tc>
          <w:tcPr>
            <w:tcW w:w="7800" w:type="dxa"/>
            <w:vAlign w:val="bottom"/>
            <w:vMerge w:val="continue"/>
          </w:tcPr>
          <w:p>
            <w:pPr>
              <w:spacing w:after="0"/>
              <w:rPr>
                <w:sz w:val="18"/>
                <w:szCs w:val="18"/>
                <w:color w:val="auto"/>
              </w:rPr>
            </w:pPr>
          </w:p>
        </w:tc>
        <w:tc>
          <w:tcPr>
            <w:tcW w:w="1780" w:type="dxa"/>
            <w:vAlign w:val="bottom"/>
            <w:gridSpan w:val="3"/>
            <w:vMerge w:val="continue"/>
          </w:tcPr>
          <w:p>
            <w:pPr>
              <w:spacing w:after="0"/>
              <w:rPr>
                <w:sz w:val="18"/>
                <w:szCs w:val="18"/>
                <w:color w:val="auto"/>
              </w:rPr>
            </w:pPr>
          </w:p>
        </w:tc>
        <w:tc>
          <w:tcPr>
            <w:tcW w:w="120" w:type="dxa"/>
            <w:vAlign w:val="bottom"/>
          </w:tcPr>
          <w:p>
            <w:pPr>
              <w:spacing w:after="0"/>
              <w:rPr>
                <w:sz w:val="18"/>
                <w:szCs w:val="18"/>
                <w:color w:val="auto"/>
              </w:rPr>
            </w:pPr>
          </w:p>
        </w:tc>
        <w:tc>
          <w:tcPr>
            <w:tcW w:w="1540" w:type="dxa"/>
            <w:vAlign w:val="bottom"/>
          </w:tcPr>
          <w:p>
            <w:pPr>
              <w:jc w:val="right"/>
              <w:ind w:right="579"/>
              <w:spacing w:after="0"/>
              <w:rPr>
                <w:sz w:val="20"/>
                <w:szCs w:val="20"/>
                <w:color w:val="auto"/>
              </w:rPr>
            </w:pPr>
            <w:r>
              <w:rPr>
                <w:rFonts w:ascii="Times New Roman" w:cs="Times New Roman" w:eastAsia="Times New Roman" w:hAnsi="Times New Roman"/>
                <w:sz w:val="16"/>
                <w:szCs w:val="16"/>
                <w:b w:val="1"/>
                <w:bCs w:val="1"/>
                <w:color w:val="auto"/>
              </w:rPr>
              <w:t>2025</w:t>
            </w:r>
          </w:p>
        </w:tc>
        <w:tc>
          <w:tcPr>
            <w:tcW w:w="0" w:type="dxa"/>
            <w:vAlign w:val="bottom"/>
          </w:tcPr>
          <w:p>
            <w:pPr>
              <w:spacing w:after="0"/>
              <w:rPr>
                <w:sz w:val="1"/>
                <w:szCs w:val="1"/>
                <w:color w:val="auto"/>
              </w:rPr>
            </w:pPr>
          </w:p>
        </w:tc>
      </w:tr>
      <w:tr>
        <w:trPr>
          <w:trHeight w:val="211"/>
        </w:trPr>
        <w:tc>
          <w:tcPr>
            <w:tcW w:w="7800" w:type="dxa"/>
            <w:vAlign w:val="bottom"/>
            <w:tcBorders>
              <w:top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Artisan Funds</w:t>
            </w:r>
          </w:p>
        </w:tc>
        <w:tc>
          <w:tcPr>
            <w:tcW w:w="580" w:type="dxa"/>
            <w:vAlign w:val="bottom"/>
            <w:tcBorders>
              <w:top w:val="single" w:sz="8" w:color="auto"/>
            </w:tcBorders>
            <w:shd w:val="clear" w:color="auto" w:fill="CCEEFF"/>
          </w:tcPr>
          <w:p>
            <w:pPr>
              <w:jc w:val="right"/>
              <w:ind w:right="39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9,221</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9,752</w:t>
            </w:r>
          </w:p>
        </w:tc>
        <w:tc>
          <w:tcPr>
            <w:tcW w:w="0" w:type="dxa"/>
            <w:vAlign w:val="bottom"/>
          </w:tcPr>
          <w:p>
            <w:pPr>
              <w:spacing w:after="0"/>
              <w:rPr>
                <w:sz w:val="1"/>
                <w:szCs w:val="1"/>
                <w:color w:val="auto"/>
              </w:rPr>
            </w:pPr>
          </w:p>
        </w:tc>
      </w:tr>
      <w:tr>
        <w:trPr>
          <w:trHeight w:val="213"/>
        </w:trPr>
        <w:tc>
          <w:tcPr>
            <w:tcW w:w="78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Artisan Global Funds</w:t>
            </w:r>
          </w:p>
        </w:tc>
        <w:tc>
          <w:tcPr>
            <w:tcW w:w="5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7,722</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7,973</w:t>
            </w:r>
          </w:p>
        </w:tc>
        <w:tc>
          <w:tcPr>
            <w:tcW w:w="0" w:type="dxa"/>
            <w:vAlign w:val="bottom"/>
          </w:tcPr>
          <w:p>
            <w:pPr>
              <w:spacing w:after="0"/>
              <w:rPr>
                <w:sz w:val="1"/>
                <w:szCs w:val="1"/>
                <w:color w:val="auto"/>
              </w:rPr>
            </w:pPr>
          </w:p>
        </w:tc>
      </w:tr>
      <w:tr>
        <w:trPr>
          <w:trHeight w:val="219"/>
        </w:trPr>
        <w:tc>
          <w:tcPr>
            <w:tcW w:w="78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Separate accounts and other</w:t>
            </w:r>
          </w:p>
        </w:tc>
        <w:tc>
          <w:tcPr>
            <w:tcW w:w="58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116,207</w:t>
            </w:r>
          </w:p>
        </w:tc>
        <w:tc>
          <w:tcPr>
            <w:tcW w:w="1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130,530</w:t>
            </w:r>
          </w:p>
        </w:tc>
        <w:tc>
          <w:tcPr>
            <w:tcW w:w="0" w:type="dxa"/>
            <w:vAlign w:val="bottom"/>
          </w:tcPr>
          <w:p>
            <w:pPr>
              <w:spacing w:after="0"/>
              <w:rPr>
                <w:sz w:val="1"/>
                <w:szCs w:val="1"/>
                <w:color w:val="auto"/>
              </w:rPr>
            </w:pPr>
          </w:p>
        </w:tc>
      </w:tr>
      <w:tr>
        <w:trPr>
          <w:trHeight w:val="207"/>
        </w:trPr>
        <w:tc>
          <w:tcPr>
            <w:tcW w:w="78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 receivables from contracts with customers</w:t>
            </w:r>
          </w:p>
        </w:tc>
        <w:tc>
          <w:tcPr>
            <w:tcW w:w="58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133,150</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148,255</w:t>
            </w:r>
          </w:p>
        </w:tc>
        <w:tc>
          <w:tcPr>
            <w:tcW w:w="0" w:type="dxa"/>
            <w:vAlign w:val="bottom"/>
          </w:tcPr>
          <w:p>
            <w:pPr>
              <w:spacing w:after="0"/>
              <w:rPr>
                <w:sz w:val="1"/>
                <w:szCs w:val="1"/>
                <w:color w:val="auto"/>
              </w:rPr>
            </w:pPr>
          </w:p>
        </w:tc>
      </w:tr>
      <w:tr>
        <w:trPr>
          <w:trHeight w:val="216"/>
        </w:trPr>
        <w:tc>
          <w:tcPr>
            <w:tcW w:w="7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Non-customer receivables</w:t>
            </w:r>
          </w:p>
        </w:tc>
        <w:tc>
          <w:tcPr>
            <w:tcW w:w="58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7,084</w:t>
            </w:r>
          </w:p>
        </w:tc>
        <w:tc>
          <w:tcPr>
            <w:tcW w:w="1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6,281</w:t>
            </w:r>
          </w:p>
        </w:tc>
        <w:tc>
          <w:tcPr>
            <w:tcW w:w="0" w:type="dxa"/>
            <w:vAlign w:val="bottom"/>
          </w:tcPr>
          <w:p>
            <w:pPr>
              <w:spacing w:after="0"/>
              <w:rPr>
                <w:sz w:val="1"/>
                <w:szCs w:val="1"/>
                <w:color w:val="auto"/>
              </w:rPr>
            </w:pPr>
          </w:p>
        </w:tc>
      </w:tr>
      <w:tr>
        <w:trPr>
          <w:trHeight w:val="212"/>
        </w:trPr>
        <w:tc>
          <w:tcPr>
            <w:tcW w:w="780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Accounts receivable</w:t>
            </w:r>
          </w:p>
        </w:tc>
        <w:tc>
          <w:tcPr>
            <w:tcW w:w="580" w:type="dxa"/>
            <w:vAlign w:val="bottom"/>
            <w:tcBorders>
              <w:bottom w:val="single" w:sz="8" w:color="auto"/>
            </w:tcBorders>
          </w:tcPr>
          <w:p>
            <w:pPr>
              <w:jc w:val="right"/>
              <w:ind w:right="39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140,234</w:t>
            </w:r>
          </w:p>
        </w:tc>
        <w:tc>
          <w:tcPr>
            <w:tcW w:w="12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154,536</w:t>
            </w:r>
          </w:p>
        </w:tc>
        <w:tc>
          <w:tcPr>
            <w:tcW w:w="0" w:type="dxa"/>
            <w:vAlign w:val="bottom"/>
          </w:tcPr>
          <w:p>
            <w:pPr>
              <w:spacing w:after="0"/>
              <w:rPr>
                <w:sz w:val="1"/>
                <w:szCs w:val="1"/>
                <w:color w:val="auto"/>
              </w:rPr>
            </w:pPr>
          </w:p>
        </w:tc>
      </w:tr>
      <w:tr>
        <w:trPr>
          <w:trHeight w:val="21"/>
        </w:trPr>
        <w:tc>
          <w:tcPr>
            <w:tcW w:w="78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both"/>
        <w:ind w:right="180"/>
        <w:spacing w:after="0" w:line="272" w:lineRule="auto"/>
        <w:rPr>
          <w:sz w:val="20"/>
          <w:szCs w:val="20"/>
          <w:color w:val="auto"/>
        </w:rPr>
      </w:pPr>
      <w:r>
        <w:rPr>
          <w:rFonts w:ascii="Times New Roman" w:cs="Times New Roman" w:eastAsia="Times New Roman" w:hAnsi="Times New Roman"/>
          <w:sz w:val="16"/>
          <w:szCs w:val="16"/>
          <w:color w:val="auto"/>
        </w:rPr>
        <w:t>Artisan Funds and Artisan Global Funds are billed on the last day of each month. Artisan Funds and Artisan Global Funds make payments on the same day the invoice is received for the majority of the invoiced amount. The remainder of the invoice is generally paid in the month following receipt of the invoice. Separate accounts and other clients are generally billed on a monthly or quarterly basis, with payments due within 30 days of billing.</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Artisan had no other contract assets or liabilities from contracts with customers as of March 31, 2026 or December 31, 2025.</w:t>
      </w:r>
    </w:p>
    <w:p>
      <w:pPr>
        <w:spacing w:after="0" w:line="127" w:lineRule="exact"/>
        <w:rPr>
          <w:sz w:val="20"/>
          <w:szCs w:val="20"/>
          <w:color w:val="auto"/>
        </w:rPr>
      </w:pPr>
    </w:p>
    <w:p>
      <w:pPr>
        <w:ind w:right="260"/>
        <w:spacing w:after="0" w:line="263" w:lineRule="auto"/>
        <w:rPr>
          <w:sz w:val="20"/>
          <w:szCs w:val="20"/>
          <w:color w:val="auto"/>
        </w:rPr>
      </w:pPr>
      <w:r>
        <w:rPr>
          <w:rFonts w:ascii="Times New Roman" w:cs="Times New Roman" w:eastAsia="Times New Roman" w:hAnsi="Times New Roman"/>
          <w:sz w:val="16"/>
          <w:szCs w:val="16"/>
          <w:color w:val="auto"/>
        </w:rPr>
        <w:t>Non-customer receivables include state tax payments made on behalf of certain limited partners, which are then netted from subsequent distributions or payments to the limited partners, as well as redemptions of investments that have not yet been collected. Non-customer receivables associated with redemptions of investments were $3.1 million and $5.6 million as of March 31, 2026 and December 31, 2025, respectively.</w:t>
      </w:r>
    </w:p>
    <w:p>
      <w:pPr>
        <w:spacing w:after="0" w:line="82"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780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Note 11. Compensation and Benefits</w:t>
            </w:r>
          </w:p>
        </w:tc>
        <w:tc>
          <w:tcPr>
            <w:tcW w:w="10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80" w:type="dxa"/>
            <w:vAlign w:val="bottom"/>
          </w:tcPr>
          <w:p>
            <w:pPr>
              <w:spacing w:after="0"/>
              <w:rPr>
                <w:sz w:val="18"/>
                <w:szCs w:val="18"/>
                <w:color w:val="auto"/>
              </w:rPr>
            </w:pPr>
          </w:p>
        </w:tc>
      </w:tr>
      <w:tr>
        <w:trPr>
          <w:trHeight w:val="297"/>
        </w:trPr>
        <w:tc>
          <w:tcPr>
            <w:tcW w:w="7800" w:type="dxa"/>
            <w:vAlign w:val="bottom"/>
          </w:tcPr>
          <w:p>
            <w:pPr>
              <w:spacing w:after="0"/>
              <w:rPr>
                <w:sz w:val="20"/>
                <w:szCs w:val="20"/>
                <w:color w:val="auto"/>
              </w:rPr>
            </w:pPr>
            <w:r>
              <w:rPr>
                <w:rFonts w:ascii="Times New Roman" w:cs="Times New Roman" w:eastAsia="Times New Roman" w:hAnsi="Times New Roman"/>
                <w:sz w:val="16"/>
                <w:szCs w:val="16"/>
                <w:color w:val="auto"/>
              </w:rPr>
              <w:t>Total compensation and benefits consist of the following:</w:t>
            </w:r>
          </w:p>
        </w:tc>
        <w:tc>
          <w:tcPr>
            <w:tcW w:w="10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246"/>
        </w:trPr>
        <w:tc>
          <w:tcPr>
            <w:tcW w:w="7800" w:type="dxa"/>
            <w:vAlign w:val="bottom"/>
          </w:tcPr>
          <w:p>
            <w:pPr>
              <w:spacing w:after="0"/>
              <w:rPr>
                <w:sz w:val="21"/>
                <w:szCs w:val="21"/>
                <w:color w:val="auto"/>
              </w:rPr>
            </w:pPr>
          </w:p>
        </w:tc>
        <w:tc>
          <w:tcPr>
            <w:tcW w:w="3440" w:type="dxa"/>
            <w:vAlign w:val="bottom"/>
            <w:tcBorders>
              <w:bottom w:val="single" w:sz="8" w:color="auto"/>
            </w:tcBorders>
            <w:gridSpan w:val="5"/>
          </w:tcPr>
          <w:p>
            <w:pPr>
              <w:jc w:val="right"/>
              <w:ind w:right="259"/>
              <w:spacing w:after="0"/>
              <w:rPr>
                <w:sz w:val="20"/>
                <w:szCs w:val="20"/>
                <w:color w:val="auto"/>
              </w:rPr>
            </w:pPr>
            <w:r>
              <w:rPr>
                <w:rFonts w:ascii="Times New Roman" w:cs="Times New Roman" w:eastAsia="Times New Roman" w:hAnsi="Times New Roman"/>
                <w:sz w:val="16"/>
                <w:szCs w:val="16"/>
                <w:b w:val="1"/>
                <w:bCs w:val="1"/>
                <w:color w:val="auto"/>
              </w:rPr>
              <w:t>For the Three Months Ended March 31,</w:t>
            </w:r>
          </w:p>
        </w:tc>
      </w:tr>
      <w:tr>
        <w:trPr>
          <w:trHeight w:val="211"/>
        </w:trPr>
        <w:tc>
          <w:tcPr>
            <w:tcW w:w="7800" w:type="dxa"/>
            <w:vAlign w:val="bottom"/>
            <w:tcBorders>
              <w:bottom w:val="single" w:sz="8" w:color="CCEEFF"/>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2026</w:t>
            </w:r>
          </w:p>
        </w:tc>
        <w:tc>
          <w:tcPr>
            <w:tcW w:w="64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579"/>
              <w:spacing w:after="0"/>
              <w:rPr>
                <w:sz w:val="20"/>
                <w:szCs w:val="20"/>
                <w:color w:val="auto"/>
              </w:rPr>
            </w:pPr>
            <w:r>
              <w:rPr>
                <w:rFonts w:ascii="Times New Roman" w:cs="Times New Roman" w:eastAsia="Times New Roman" w:hAnsi="Times New Roman"/>
                <w:sz w:val="16"/>
                <w:szCs w:val="16"/>
                <w:b w:val="1"/>
                <w:bCs w:val="1"/>
                <w:color w:val="auto"/>
              </w:rPr>
              <w:t>2025</w:t>
            </w:r>
          </w:p>
        </w:tc>
      </w:tr>
      <w:tr>
        <w:trPr>
          <w:trHeight w:val="211"/>
        </w:trPr>
        <w:tc>
          <w:tcPr>
            <w:tcW w:w="7800" w:type="dxa"/>
            <w:vAlign w:val="bottom"/>
            <w:shd w:val="clear" w:color="auto" w:fill="CCEEFF"/>
          </w:tcPr>
          <w:p>
            <w:pPr>
              <w:ind w:left="20"/>
              <w:spacing w:after="0" w:line="212" w:lineRule="exact"/>
              <w:rPr>
                <w:sz w:val="20"/>
                <w:szCs w:val="20"/>
                <w:color w:val="auto"/>
              </w:rPr>
            </w:pPr>
            <w:r>
              <w:rPr>
                <w:rFonts w:ascii="Times New Roman" w:cs="Times New Roman" w:eastAsia="Times New Roman" w:hAnsi="Times New Roman"/>
                <w:sz w:val="16"/>
                <w:szCs w:val="16"/>
                <w:color w:val="auto"/>
              </w:rPr>
              <w:t xml:space="preserve">Salaries, incentive compensation and benefits </w:t>
            </w:r>
            <w:r>
              <w:rPr>
                <w:rFonts w:ascii="Times New Roman" w:cs="Times New Roman" w:eastAsia="Times New Roman" w:hAnsi="Times New Roman"/>
                <w:sz w:val="21"/>
                <w:szCs w:val="21"/>
                <w:color w:val="auto"/>
                <w:vertAlign w:val="superscript"/>
              </w:rPr>
              <w:t>(1)</w:t>
            </w:r>
          </w:p>
        </w:tc>
        <w:tc>
          <w:tcPr>
            <w:tcW w:w="1020" w:type="dxa"/>
            <w:vAlign w:val="bottom"/>
            <w:shd w:val="clear" w:color="auto" w:fill="CCEEFF"/>
          </w:tcPr>
          <w:p>
            <w:pPr>
              <w:jc w:val="right"/>
              <w:ind w:right="839"/>
              <w:spacing w:after="0"/>
              <w:rPr>
                <w:sz w:val="20"/>
                <w:szCs w:val="20"/>
                <w:color w:val="auto"/>
              </w:rPr>
            </w:pPr>
            <w:r>
              <w:rPr>
                <w:rFonts w:ascii="Times New Roman" w:cs="Times New Roman" w:eastAsia="Times New Roman" w:hAnsi="Times New Roman"/>
                <w:sz w:val="16"/>
                <w:szCs w:val="16"/>
                <w:color w:val="auto"/>
                <w:w w:val="99"/>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146,799</w:t>
            </w: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133,979</w:t>
            </w:r>
          </w:p>
        </w:tc>
      </w:tr>
      <w:tr>
        <w:trPr>
          <w:trHeight w:val="213"/>
        </w:trPr>
        <w:tc>
          <w:tcPr>
            <w:tcW w:w="780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Long-term cash incentive compensation expense</w:t>
            </w:r>
          </w:p>
        </w:tc>
        <w:tc>
          <w:tcPr>
            <w:tcW w:w="10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14,678</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13,727</w:t>
            </w:r>
          </w:p>
        </w:tc>
      </w:tr>
      <w:tr>
        <w:trPr>
          <w:trHeight w:val="219"/>
        </w:trPr>
        <w:tc>
          <w:tcPr>
            <w:tcW w:w="78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Restricted share-based award compensation expense</w:t>
            </w:r>
          </w:p>
        </w:tc>
        <w:tc>
          <w:tcPr>
            <w:tcW w:w="102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7,236</w:t>
            </w:r>
          </w:p>
        </w:tc>
        <w:tc>
          <w:tcPr>
            <w:tcW w:w="12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7,455</w:t>
            </w:r>
          </w:p>
        </w:tc>
      </w:tr>
      <w:tr>
        <w:trPr>
          <w:trHeight w:val="207"/>
        </w:trPr>
        <w:tc>
          <w:tcPr>
            <w:tcW w:w="78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Long-term incentive compensation expense</w:t>
            </w:r>
          </w:p>
        </w:tc>
        <w:tc>
          <w:tcPr>
            <w:tcW w:w="102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21,914</w:t>
            </w:r>
          </w:p>
        </w:tc>
        <w:tc>
          <w:tcPr>
            <w:tcW w:w="12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21,182</w:t>
            </w:r>
          </w:p>
        </w:tc>
      </w:tr>
      <w:tr>
        <w:trPr>
          <w:trHeight w:val="233"/>
        </w:trPr>
        <w:tc>
          <w:tcPr>
            <w:tcW w:w="7800" w:type="dxa"/>
            <w:vAlign w:val="bottom"/>
          </w:tcPr>
          <w:p>
            <w:pPr>
              <w:ind w:left="260"/>
              <w:spacing w:after="0"/>
              <w:rPr>
                <w:sz w:val="20"/>
                <w:szCs w:val="20"/>
                <w:color w:val="auto"/>
              </w:rPr>
            </w:pPr>
            <w:r>
              <w:rPr>
                <w:rFonts w:ascii="Times New Roman" w:cs="Times New Roman" w:eastAsia="Times New Roman" w:hAnsi="Times New Roman"/>
                <w:sz w:val="16"/>
                <w:szCs w:val="16"/>
                <w:b w:val="1"/>
                <w:bCs w:val="1"/>
                <w:color w:val="auto"/>
              </w:rPr>
              <w:t>Total compensation and benefits</w:t>
            </w:r>
          </w:p>
        </w:tc>
        <w:tc>
          <w:tcPr>
            <w:tcW w:w="1020" w:type="dxa"/>
            <w:vAlign w:val="bottom"/>
          </w:tcPr>
          <w:p>
            <w:pPr>
              <w:jc w:val="right"/>
              <w:ind w:right="83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168,713</w:t>
            </w:r>
          </w:p>
        </w:tc>
        <w:tc>
          <w:tcPr>
            <w:tcW w:w="120" w:type="dxa"/>
            <w:vAlign w:val="bottom"/>
          </w:tcPr>
          <w:p>
            <w:pPr>
              <w:spacing w:after="0"/>
              <w:rPr>
                <w:sz w:val="20"/>
                <w:szCs w:val="20"/>
                <w:color w:val="auto"/>
              </w:rPr>
            </w:pPr>
          </w:p>
        </w:tc>
        <w:tc>
          <w:tcPr>
            <w:tcW w:w="380" w:type="dxa"/>
            <w:vAlign w:val="bottom"/>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155,161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-158750</wp:posOffset>
            </wp:positionV>
            <wp:extent cx="7132320" cy="16256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62560"/>
                    </a:xfrm>
                    <a:prstGeom prst="rect">
                      <a:avLst/>
                    </a:prstGeom>
                    <a:noFill/>
                  </pic:spPr>
                </pic:pic>
              </a:graphicData>
            </a:graphic>
          </wp:anchor>
        </w:drawing>
      </w:r>
    </w:p>
    <w:p>
      <w:pPr>
        <w:ind w:left="180" w:hanging="154"/>
        <w:spacing w:after="0" w:line="203" w:lineRule="auto"/>
        <w:tabs>
          <w:tab w:leader="none" w:pos="180" w:val="left"/>
        </w:tabs>
        <w:numPr>
          <w:ilvl w:val="0"/>
          <w:numId w:val="12"/>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Excluding long-term incentive compensation expense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4951095</wp:posOffset>
            </wp:positionH>
            <wp:positionV relativeFrom="paragraph">
              <wp:posOffset>-104140</wp:posOffset>
            </wp:positionV>
            <wp:extent cx="218567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2185670" cy="8255"/>
                    </a:xfrm>
                    <a:prstGeom prst="rect">
                      <a:avLst/>
                    </a:prstGeom>
                    <a:noFill/>
                  </pic:spPr>
                </pic:pic>
              </a:graphicData>
            </a:graphic>
          </wp:anchor>
        </w:drawing>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Incentive compensation</w:t>
      </w:r>
    </w:p>
    <w:p>
      <w:pPr>
        <w:spacing w:after="0" w:line="129" w:lineRule="exact"/>
        <w:rPr>
          <w:sz w:val="20"/>
          <w:szCs w:val="20"/>
          <w:color w:val="auto"/>
        </w:rPr>
      </w:pPr>
    </w:p>
    <w:p>
      <w:pPr>
        <w:ind w:right="20"/>
        <w:spacing w:after="0" w:line="263" w:lineRule="auto"/>
        <w:rPr>
          <w:sz w:val="20"/>
          <w:szCs w:val="20"/>
          <w:color w:val="auto"/>
        </w:rPr>
      </w:pPr>
      <w:r>
        <w:rPr>
          <w:rFonts w:ascii="Times New Roman" w:cs="Times New Roman" w:eastAsia="Times New Roman" w:hAnsi="Times New Roman"/>
          <w:sz w:val="16"/>
          <w:szCs w:val="16"/>
          <w:color w:val="auto"/>
        </w:rPr>
        <w:t>Cash incentive compensation paid to members of Artisan’s investment teams and members of its distribution team is generally based on formulas that are tied directly to revenues. The majority of this incentive compensation is earned on a quarterly basis and paid in the quarter following the quarter in which it was earned with the exception of fourth quarter incentive compensation which is earned and paid in the fourth quarter of the year. Cash incentive compensation paid to most other employees is determined based on individual performance and Artisan’s overall results during the applicable year and is generally paid on an annual basis.</w:t>
      </w:r>
    </w:p>
    <w:p>
      <w:pPr>
        <w:spacing w:after="0" w:line="71" w:lineRule="exact"/>
        <w:rPr>
          <w:sz w:val="20"/>
          <w:szCs w:val="20"/>
          <w:color w:val="auto"/>
        </w:rPr>
      </w:pPr>
    </w:p>
    <w:p>
      <w:pPr>
        <w:ind w:right="540"/>
        <w:spacing w:after="0" w:line="298" w:lineRule="auto"/>
        <w:rPr>
          <w:sz w:val="20"/>
          <w:szCs w:val="20"/>
          <w:color w:val="auto"/>
        </w:rPr>
      </w:pPr>
      <w:r>
        <w:rPr>
          <w:rFonts w:ascii="Times New Roman" w:cs="Times New Roman" w:eastAsia="Times New Roman" w:hAnsi="Times New Roman"/>
          <w:sz w:val="16"/>
          <w:szCs w:val="16"/>
          <w:color w:val="auto"/>
        </w:rPr>
        <w:t>Long-term incentive compensation awards consist of both APAM restricted share-based awards and long-term cash awards, which are referred to as franchise capital awards. These awards are described in more detail below.</w:t>
      </w:r>
    </w:p>
    <w:p>
      <w:pPr>
        <w:spacing w:after="0" w:line="4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Restricted share-based awards</w:t>
      </w:r>
    </w:p>
    <w:p>
      <w:pPr>
        <w:spacing w:after="0" w:line="115" w:lineRule="exact"/>
        <w:rPr>
          <w:sz w:val="20"/>
          <w:szCs w:val="20"/>
          <w:color w:val="auto"/>
        </w:rPr>
      </w:pPr>
    </w:p>
    <w:p>
      <w:pPr>
        <w:ind w:right="20"/>
        <w:spacing w:after="0" w:line="298" w:lineRule="auto"/>
        <w:rPr>
          <w:sz w:val="20"/>
          <w:szCs w:val="20"/>
          <w:color w:val="auto"/>
        </w:rPr>
      </w:pPr>
      <w:r>
        <w:rPr>
          <w:rFonts w:ascii="Times New Roman" w:cs="Times New Roman" w:eastAsia="Times New Roman" w:hAnsi="Times New Roman"/>
          <w:sz w:val="16"/>
          <w:szCs w:val="16"/>
          <w:color w:val="auto"/>
        </w:rPr>
        <w:t>APAM has granted a combination of restricted stock awards, restricted stock units and performance share units (collectively referred to as “restricted share-based awards” or “awards”) of Class A common stock to employees.</w:t>
      </w:r>
    </w:p>
    <w:p>
      <w:pPr>
        <w:spacing w:after="0" w:line="4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 xml:space="preserve">Standard Restricted Shares. </w:t>
      </w:r>
      <w:r>
        <w:rPr>
          <w:rFonts w:ascii="Times New Roman" w:cs="Times New Roman" w:eastAsia="Times New Roman" w:hAnsi="Times New Roman"/>
          <w:sz w:val="16"/>
          <w:szCs w:val="16"/>
          <w:color w:val="auto"/>
        </w:rPr>
        <w:t>Standard restricted shares are generally subject to a pro rata five-year service vesting condition.</w:t>
      </w:r>
    </w:p>
    <w:p>
      <w:pPr>
        <w:spacing w:after="0" w:line="113" w:lineRule="exact"/>
        <w:rPr>
          <w:sz w:val="20"/>
          <w:szCs w:val="20"/>
          <w:color w:val="auto"/>
        </w:rPr>
      </w:pPr>
    </w:p>
    <w:p>
      <w:pPr>
        <w:ind w:right="700"/>
        <w:spacing w:after="0" w:line="301" w:lineRule="auto"/>
        <w:rPr>
          <w:sz w:val="20"/>
          <w:szCs w:val="20"/>
          <w:color w:val="auto"/>
        </w:rPr>
      </w:pPr>
      <w:r>
        <w:rPr>
          <w:rFonts w:ascii="Times New Roman" w:cs="Times New Roman" w:eastAsia="Times New Roman" w:hAnsi="Times New Roman"/>
          <w:sz w:val="16"/>
          <w:szCs w:val="16"/>
          <w:i w:val="1"/>
          <w:iCs w:val="1"/>
          <w:color w:val="auto"/>
        </w:rPr>
        <w:t xml:space="preserve">Career Shares. </w:t>
      </w:r>
      <w:r>
        <w:rPr>
          <w:rFonts w:ascii="Times New Roman" w:cs="Times New Roman" w:eastAsia="Times New Roman" w:hAnsi="Times New Roman"/>
          <w:sz w:val="16"/>
          <w:szCs w:val="16"/>
          <w:color w:val="auto"/>
        </w:rPr>
        <w:t>Career shares are generally subject to both (i) a pro rata five-year service vesting condition and (ii) a qualifying retirement (as defined in the award</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agreement) condition.</w:t>
      </w:r>
    </w:p>
    <w:p>
      <w:pPr>
        <w:spacing w:after="0" w:line="38" w:lineRule="exact"/>
        <w:rPr>
          <w:sz w:val="20"/>
          <w:szCs w:val="20"/>
          <w:color w:val="auto"/>
        </w:rPr>
      </w:pPr>
    </w:p>
    <w:p>
      <w:pPr>
        <w:ind w:right="20"/>
        <w:spacing w:after="0" w:line="264" w:lineRule="auto"/>
        <w:rPr>
          <w:sz w:val="20"/>
          <w:szCs w:val="20"/>
          <w:color w:val="auto"/>
        </w:rPr>
      </w:pPr>
      <w:r>
        <w:rPr>
          <w:rFonts w:ascii="Times New Roman" w:cs="Times New Roman" w:eastAsia="Times New Roman" w:hAnsi="Times New Roman"/>
          <w:sz w:val="16"/>
          <w:szCs w:val="16"/>
          <w:i w:val="1"/>
          <w:iCs w:val="1"/>
          <w:color w:val="auto"/>
        </w:rPr>
        <w:t xml:space="preserve">Franchise Shares. </w:t>
      </w:r>
      <w:r>
        <w:rPr>
          <w:rFonts w:ascii="Times New Roman" w:cs="Times New Roman" w:eastAsia="Times New Roman" w:hAnsi="Times New Roman"/>
          <w:sz w:val="16"/>
          <w:szCs w:val="16"/>
          <w:color w:val="auto"/>
        </w:rPr>
        <w:t>Like career shares, franchise shares are generally subject to both (i) a pro rata five-year service vesting condition and (ii) a qualifying retirement</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condition. In addition, franchise shares, which are only granted to investment team members, are subject to a Franchise Protection Clause, which provides that the number of shares that ultimately vest depends on whether certain conditions relating to client cash flows are met. If such conditions are not met, compensation cost related to unvested shares will be reversed.</w:t>
      </w:r>
    </w:p>
    <w:p>
      <w:pPr>
        <w:spacing w:after="0" w:line="81" w:lineRule="exact"/>
        <w:rPr>
          <w:sz w:val="20"/>
          <w:szCs w:val="20"/>
          <w:color w:val="auto"/>
        </w:rPr>
      </w:pPr>
    </w:p>
    <w:p>
      <w:pPr>
        <w:ind w:right="220"/>
        <w:spacing w:after="0" w:line="283" w:lineRule="auto"/>
        <w:rPr>
          <w:sz w:val="20"/>
          <w:szCs w:val="20"/>
          <w:color w:val="auto"/>
        </w:rPr>
      </w:pPr>
      <w:r>
        <w:rPr>
          <w:rFonts w:ascii="Times New Roman" w:cs="Times New Roman" w:eastAsia="Times New Roman" w:hAnsi="Times New Roman"/>
          <w:sz w:val="16"/>
          <w:szCs w:val="16"/>
          <w:i w:val="1"/>
          <w:iCs w:val="1"/>
          <w:color w:val="auto"/>
        </w:rPr>
        <w:t>Performance Share Units (PSUs)</w:t>
      </w:r>
      <w:r>
        <w:rPr>
          <w:rFonts w:ascii="Times New Roman" w:cs="Times New Roman" w:eastAsia="Times New Roman" w:hAnsi="Times New Roman"/>
          <w:sz w:val="16"/>
          <w:szCs w:val="16"/>
          <w:color w:val="auto"/>
        </w:rPr>
        <w:t>. As of March 31, 2026 and December 31, 2025, all 152,207 unvested PSUs had met the required three-year performance conditions, but</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remain outstanding subject to meeting a qualifying retirement vesting condition.</w:t>
      </w:r>
    </w:p>
    <w:p>
      <w:pPr>
        <w:spacing w:after="0" w:line="68" w:lineRule="exact"/>
        <w:rPr>
          <w:sz w:val="20"/>
          <w:szCs w:val="20"/>
          <w:color w:val="auto"/>
        </w:rPr>
      </w:pPr>
    </w:p>
    <w:p>
      <w:pPr>
        <w:ind w:right="200"/>
        <w:spacing w:after="0" w:line="280" w:lineRule="auto"/>
        <w:rPr>
          <w:sz w:val="20"/>
          <w:szCs w:val="20"/>
          <w:color w:val="auto"/>
        </w:rPr>
      </w:pPr>
      <w:r>
        <w:rPr>
          <w:rFonts w:ascii="Times New Roman" w:cs="Times New Roman" w:eastAsia="Times New Roman" w:hAnsi="Times New Roman"/>
          <w:sz w:val="16"/>
          <w:szCs w:val="16"/>
          <w:color w:val="auto"/>
        </w:rPr>
        <w:t>For awards granted beginning in 2024, the pro rata five-year service vesting condition is waived for grantees that satisfy the qualified retirement requirements and an age-plus-service condition.</w:t>
      </w:r>
    </w:p>
    <w:p>
      <w:pPr>
        <w:spacing w:after="0" w:line="57" w:lineRule="exact"/>
        <w:rPr>
          <w:sz w:val="20"/>
          <w:szCs w:val="20"/>
          <w:color w:val="auto"/>
        </w:rPr>
      </w:pPr>
    </w:p>
    <w:p>
      <w:pPr>
        <w:ind w:right="560"/>
        <w:spacing w:after="0" w:line="272" w:lineRule="auto"/>
        <w:rPr>
          <w:sz w:val="20"/>
          <w:szCs w:val="20"/>
          <w:color w:val="auto"/>
        </w:rPr>
      </w:pPr>
      <w:r>
        <w:rPr>
          <w:rFonts w:ascii="Times New Roman" w:cs="Times New Roman" w:eastAsia="Times New Roman" w:hAnsi="Times New Roman"/>
          <w:sz w:val="16"/>
          <w:szCs w:val="16"/>
          <w:color w:val="auto"/>
        </w:rPr>
        <w:t>Unvested restricted share-based awards are subject to forfeiture. Grantees are generally entitled to dividends or dividend equivalents on unvested and vested awards. 5,046,363 shares of Class A common stock were reserved and available for issuance under the Artisan Partners Asset Management Inc. 2023 Omnibus Incentive Compensation Plan (the “Plan”) at March 31, 2026.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During the three months ended March 31, 2026, Artisan granted 465,719 restricted Class A shares and 6,804 restricted stock units.</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following tables summarize the Class A restricted share-based award activity for the three months ended March 31, 2026:</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78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4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w w:val="98"/>
              </w:rPr>
              <w:t>Weighted-Average</w:t>
            </w:r>
          </w:p>
        </w:tc>
        <w:tc>
          <w:tcPr>
            <w:tcW w:w="16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Restricted Stock</w:t>
            </w:r>
          </w:p>
        </w:tc>
        <w:tc>
          <w:tcPr>
            <w:tcW w:w="0" w:type="dxa"/>
            <w:vAlign w:val="bottom"/>
          </w:tcPr>
          <w:p>
            <w:pPr>
              <w:spacing w:after="0"/>
              <w:rPr>
                <w:sz w:val="1"/>
                <w:szCs w:val="1"/>
                <w:color w:val="auto"/>
              </w:rPr>
            </w:pPr>
          </w:p>
        </w:tc>
      </w:tr>
      <w:tr>
        <w:trPr>
          <w:trHeight w:val="162"/>
        </w:trPr>
        <w:tc>
          <w:tcPr>
            <w:tcW w:w="78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40" w:type="dxa"/>
            <w:vAlign w:val="bottom"/>
            <w:gridSpan w:val="2"/>
            <w:vMerge w:val="continue"/>
          </w:tcPr>
          <w:p>
            <w:pPr>
              <w:spacing w:after="0"/>
              <w:rPr>
                <w:sz w:val="14"/>
                <w:szCs w:val="14"/>
                <w:color w:val="auto"/>
              </w:rPr>
            </w:pPr>
          </w:p>
        </w:tc>
        <w:tc>
          <w:tcPr>
            <w:tcW w:w="1660" w:type="dxa"/>
            <w:vAlign w:val="bottom"/>
          </w:tcPr>
          <w:p>
            <w:pPr>
              <w:jc w:val="center"/>
              <w:spacing w:after="0" w:line="162" w:lineRule="exact"/>
              <w:rPr>
                <w:sz w:val="20"/>
                <w:szCs w:val="20"/>
                <w:color w:val="auto"/>
              </w:rPr>
            </w:pPr>
            <w:r>
              <w:rPr>
                <w:rFonts w:ascii="Times New Roman" w:cs="Times New Roman" w:eastAsia="Times New Roman" w:hAnsi="Times New Roman"/>
                <w:sz w:val="16"/>
                <w:szCs w:val="16"/>
                <w:b w:val="1"/>
                <w:bCs w:val="1"/>
                <w:color w:val="auto"/>
              </w:rPr>
              <w:t>Awards and Restricted</w:t>
            </w:r>
          </w:p>
        </w:tc>
        <w:tc>
          <w:tcPr>
            <w:tcW w:w="0" w:type="dxa"/>
            <w:vAlign w:val="bottom"/>
          </w:tcPr>
          <w:p>
            <w:pPr>
              <w:spacing w:after="0"/>
              <w:rPr>
                <w:sz w:val="1"/>
                <w:szCs w:val="1"/>
                <w:color w:val="auto"/>
              </w:rPr>
            </w:pPr>
          </w:p>
        </w:tc>
      </w:tr>
      <w:tr>
        <w:trPr>
          <w:trHeight w:val="214"/>
        </w:trPr>
        <w:tc>
          <w:tcPr>
            <w:tcW w:w="7800" w:type="dxa"/>
            <w:vAlign w:val="bottom"/>
          </w:tcPr>
          <w:p>
            <w:pPr>
              <w:spacing w:after="0"/>
              <w:rPr>
                <w:sz w:val="18"/>
                <w:szCs w:val="18"/>
                <w:color w:val="auto"/>
              </w:rPr>
            </w:pPr>
          </w:p>
        </w:tc>
        <w:tc>
          <w:tcPr>
            <w:tcW w:w="1780" w:type="dxa"/>
            <w:vAlign w:val="bottom"/>
            <w:gridSpan w:val="3"/>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w w:val="99"/>
              </w:rPr>
              <w:t>Grant Date Fair Value</w:t>
            </w:r>
          </w:p>
        </w:tc>
        <w:tc>
          <w:tcPr>
            <w:tcW w:w="16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Stock Units</w:t>
            </w:r>
          </w:p>
        </w:tc>
        <w:tc>
          <w:tcPr>
            <w:tcW w:w="0" w:type="dxa"/>
            <w:vAlign w:val="bottom"/>
          </w:tcPr>
          <w:p>
            <w:pPr>
              <w:spacing w:after="0"/>
              <w:rPr>
                <w:sz w:val="1"/>
                <w:szCs w:val="1"/>
                <w:color w:val="auto"/>
              </w:rPr>
            </w:pPr>
          </w:p>
        </w:tc>
      </w:tr>
      <w:tr>
        <w:trPr>
          <w:trHeight w:val="211"/>
        </w:trPr>
        <w:tc>
          <w:tcPr>
            <w:tcW w:w="78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Unvested at January 1, 2026</w:t>
            </w: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39.58</w:t>
            </w:r>
          </w:p>
        </w:tc>
        <w:tc>
          <w:tcPr>
            <w:tcW w:w="120" w:type="dxa"/>
            <w:vAlign w:val="bottom"/>
            <w:tcBorders>
              <w:top w:val="single" w:sz="8" w:color="CCEEFF"/>
            </w:tcBorders>
            <w:shd w:val="clear" w:color="auto" w:fill="CCEEFF"/>
          </w:tcPr>
          <w:p>
            <w:pPr>
              <w:spacing w:after="0"/>
              <w:rPr>
                <w:sz w:val="18"/>
                <w:szCs w:val="18"/>
                <w:color w:val="auto"/>
              </w:rPr>
            </w:pPr>
          </w:p>
        </w:tc>
        <w:tc>
          <w:tcPr>
            <w:tcW w:w="1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4,949,507</w:t>
            </w:r>
          </w:p>
        </w:tc>
        <w:tc>
          <w:tcPr>
            <w:tcW w:w="0" w:type="dxa"/>
            <w:vAlign w:val="bottom"/>
          </w:tcPr>
          <w:p>
            <w:pPr>
              <w:spacing w:after="0"/>
              <w:rPr>
                <w:sz w:val="1"/>
                <w:szCs w:val="1"/>
                <w:color w:val="auto"/>
              </w:rPr>
            </w:pPr>
          </w:p>
        </w:tc>
      </w:tr>
      <w:tr>
        <w:trPr>
          <w:trHeight w:val="213"/>
        </w:trPr>
        <w:tc>
          <w:tcPr>
            <w:tcW w:w="78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Granted</w:t>
            </w:r>
          </w:p>
        </w:tc>
        <w:tc>
          <w:tcPr>
            <w:tcW w:w="14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43.97</w:t>
            </w:r>
          </w:p>
        </w:tc>
        <w:tc>
          <w:tcPr>
            <w:tcW w:w="12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472,523</w:t>
            </w:r>
          </w:p>
        </w:tc>
        <w:tc>
          <w:tcPr>
            <w:tcW w:w="0" w:type="dxa"/>
            <w:vAlign w:val="bottom"/>
          </w:tcPr>
          <w:p>
            <w:pPr>
              <w:spacing w:after="0"/>
              <w:rPr>
                <w:sz w:val="1"/>
                <w:szCs w:val="1"/>
                <w:color w:val="auto"/>
              </w:rPr>
            </w:pPr>
          </w:p>
        </w:tc>
      </w:tr>
      <w:tr>
        <w:trPr>
          <w:trHeight w:val="219"/>
        </w:trPr>
        <w:tc>
          <w:tcPr>
            <w:tcW w:w="7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Forfeited</w:t>
            </w:r>
          </w:p>
        </w:tc>
        <w:tc>
          <w:tcPr>
            <w:tcW w:w="14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41.86</w:t>
            </w:r>
          </w:p>
        </w:tc>
        <w:tc>
          <w:tcPr>
            <w:tcW w:w="12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(4,307)</w:t>
            </w:r>
          </w:p>
        </w:tc>
        <w:tc>
          <w:tcPr>
            <w:tcW w:w="0" w:type="dxa"/>
            <w:vAlign w:val="bottom"/>
          </w:tcPr>
          <w:p>
            <w:pPr>
              <w:spacing w:after="0"/>
              <w:rPr>
                <w:sz w:val="1"/>
                <w:szCs w:val="1"/>
                <w:color w:val="auto"/>
              </w:rPr>
            </w:pPr>
          </w:p>
        </w:tc>
      </w:tr>
      <w:tr>
        <w:trPr>
          <w:trHeight w:val="213"/>
        </w:trPr>
        <w:tc>
          <w:tcPr>
            <w:tcW w:w="78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Vested</w:t>
            </w:r>
          </w:p>
        </w:tc>
        <w:tc>
          <w:tcPr>
            <w:tcW w:w="140" w:type="dxa"/>
            <w:vAlign w:val="bottom"/>
            <w:tcBorders>
              <w:bottom w:val="single" w:sz="8" w:color="CCEEFF"/>
            </w:tcBorders>
          </w:tcPr>
          <w:p>
            <w:pPr>
              <w:spacing w:after="0"/>
              <w:rPr>
                <w:sz w:val="18"/>
                <w:szCs w:val="18"/>
                <w:color w:val="auto"/>
              </w:rPr>
            </w:pPr>
          </w:p>
        </w:tc>
        <w:tc>
          <w:tcPr>
            <w:tcW w:w="152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rPr>
              <w:t>44.21</w:t>
            </w:r>
          </w:p>
        </w:tc>
        <w:tc>
          <w:tcPr>
            <w:tcW w:w="120" w:type="dxa"/>
            <w:vAlign w:val="bottom"/>
            <w:tcBorders>
              <w:bottom w:val="single" w:sz="8" w:color="CCEEFF"/>
            </w:tcBorders>
          </w:tcPr>
          <w:p>
            <w:pPr>
              <w:spacing w:after="0"/>
              <w:rPr>
                <w:sz w:val="18"/>
                <w:szCs w:val="18"/>
                <w:color w:val="auto"/>
              </w:rPr>
            </w:pP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(365,906)</w:t>
            </w:r>
          </w:p>
        </w:tc>
        <w:tc>
          <w:tcPr>
            <w:tcW w:w="0" w:type="dxa"/>
            <w:vAlign w:val="bottom"/>
          </w:tcPr>
          <w:p>
            <w:pPr>
              <w:spacing w:after="0"/>
              <w:rPr>
                <w:sz w:val="1"/>
                <w:szCs w:val="1"/>
                <w:color w:val="auto"/>
              </w:rPr>
            </w:pPr>
          </w:p>
        </w:tc>
      </w:tr>
      <w:tr>
        <w:trPr>
          <w:trHeight w:val="237"/>
        </w:trPr>
        <w:tc>
          <w:tcPr>
            <w:tcW w:w="78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Unvested at March 31, 2026</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39.65</w:t>
            </w:r>
          </w:p>
        </w:tc>
        <w:tc>
          <w:tcPr>
            <w:tcW w:w="120" w:type="dxa"/>
            <w:vAlign w:val="bottom"/>
            <w:tcBorders>
              <w:bottom w:val="single" w:sz="8" w:color="CCEEFF"/>
            </w:tcBorders>
            <w:shd w:val="clear" w:color="auto" w:fill="CCEEFF"/>
          </w:tcPr>
          <w:p>
            <w:pPr>
              <w:spacing w:after="0"/>
              <w:rPr>
                <w:sz w:val="20"/>
                <w:szCs w:val="20"/>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5,051,817</w:t>
            </w:r>
          </w:p>
        </w:tc>
        <w:tc>
          <w:tcPr>
            <w:tcW w:w="0" w:type="dxa"/>
            <w:vAlign w:val="bottom"/>
          </w:tcPr>
          <w:p>
            <w:pPr>
              <w:spacing w:after="0"/>
              <w:rPr>
                <w:sz w:val="1"/>
                <w:szCs w:val="1"/>
                <w:color w:val="auto"/>
              </w:rPr>
            </w:pPr>
          </w:p>
        </w:tc>
      </w:tr>
      <w:tr>
        <w:trPr>
          <w:trHeight w:val="20"/>
        </w:trPr>
        <w:tc>
          <w:tcPr>
            <w:tcW w:w="78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5" w:lineRule="exact"/>
        <w:rPr>
          <w:sz w:val="20"/>
          <w:szCs w:val="20"/>
          <w:color w:val="auto"/>
        </w:rPr>
      </w:pPr>
    </w:p>
    <w:p>
      <w:pPr>
        <w:ind w:right="480"/>
        <w:spacing w:after="0" w:line="298" w:lineRule="auto"/>
        <w:rPr>
          <w:sz w:val="20"/>
          <w:szCs w:val="20"/>
          <w:color w:val="auto"/>
        </w:rPr>
      </w:pPr>
      <w:r>
        <w:rPr>
          <w:rFonts w:ascii="Times New Roman" w:cs="Times New Roman" w:eastAsia="Times New Roman" w:hAnsi="Times New Roman"/>
          <w:sz w:val="16"/>
          <w:szCs w:val="16"/>
          <w:color w:val="auto"/>
        </w:rPr>
        <w:t>The unrecognized compensation expense for the unvested restricted Class A shares and restricted stock units as of March 31, 2026 was $58.3 million with a weighted average recognition period of 2.7 years remaining.</w:t>
      </w:r>
    </w:p>
    <w:p>
      <w:pPr>
        <w:spacing w:after="0" w:line="43" w:lineRule="exact"/>
        <w:rPr>
          <w:sz w:val="20"/>
          <w:szCs w:val="20"/>
          <w:color w:val="auto"/>
        </w:rPr>
      </w:pPr>
    </w:p>
    <w:p>
      <w:pPr>
        <w:jc w:val="both"/>
        <w:ind w:right="20"/>
        <w:spacing w:after="0" w:line="272" w:lineRule="auto"/>
        <w:rPr>
          <w:sz w:val="20"/>
          <w:szCs w:val="20"/>
          <w:color w:val="auto"/>
        </w:rPr>
      </w:pPr>
      <w:r>
        <w:rPr>
          <w:rFonts w:ascii="Times New Roman" w:cs="Times New Roman" w:eastAsia="Times New Roman" w:hAnsi="Times New Roman"/>
          <w:sz w:val="16"/>
          <w:szCs w:val="16"/>
          <w:color w:val="auto"/>
        </w:rPr>
        <w:t>During the three months ended March 31, 2026, the Company withheld a total of 102,596 restricted shares and paid a total of $4.5 million as a result of net share settlements to satisfy employee tax withholding obligations. These net share settlements had the effect of shares repurchased and retired by the Company, as they reduced the number of shares outstanding.</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Long-term cash awards (franchise capital awards)</w:t>
      </w:r>
    </w:p>
    <w:p>
      <w:pPr>
        <w:spacing w:after="0" w:line="129" w:lineRule="exact"/>
        <w:rPr>
          <w:sz w:val="20"/>
          <w:szCs w:val="20"/>
          <w:color w:val="auto"/>
        </w:rPr>
      </w:pPr>
    </w:p>
    <w:p>
      <w:pPr>
        <w:ind w:right="20"/>
        <w:spacing w:after="0" w:line="257" w:lineRule="auto"/>
        <w:rPr>
          <w:sz w:val="20"/>
          <w:szCs w:val="20"/>
          <w:color w:val="auto"/>
        </w:rPr>
      </w:pPr>
      <w:r>
        <w:rPr>
          <w:rFonts w:ascii="Times New Roman" w:cs="Times New Roman" w:eastAsia="Times New Roman" w:hAnsi="Times New Roman"/>
          <w:sz w:val="16"/>
          <w:szCs w:val="16"/>
          <w:color w:val="auto"/>
        </w:rPr>
        <w:t>During the three months ended March 31, 2026, Artisan granted $50.6 million of franchise capital awards to investment team members in lieu of certain additional restricted share-based awards. The franchise capital awards are subject to the same long-term vesting and forfeiture provisions as restricted share-based awards, as described above. Prior to vesting, franchise capital awards are generally allocated to one or more of the investment strategies managed by the award recipient’s investment team. During the vesting period, the value of the awards will increase or decrease based on the investment returns of the strategies to which the awards are allocated. Compensation expense, including the appreciation or depreciation related to investment returns, is recognized on a straight-line basis over the required service period, which is generally five years. If an employee is eligible to fully vest in an award upon a qualified retirement, the requisite service period for that award is equal to the employee’s required retirement notice period, which is generally 12 or 18 months. As the awards will generally be paid out in cash upon vesting, the fair value of unvested awards is recorded as a liability based on the percentage of the service requirement that has been completed. The liability is recorded within accrued long-term incentive compensation in the Company’s unaudited condensed consolidated statements of financial condition.</w:t>
      </w:r>
    </w:p>
    <w:p>
      <w:pPr>
        <w:spacing w:after="0" w:line="76"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6"/>
          <w:szCs w:val="16"/>
          <w:color w:val="auto"/>
        </w:rPr>
        <w:t>The Company hedges its economic exposure to the change in value of franchise capital awards due to market movements by investing the cash reserved for the awards in the underlying investments. The franchise capital award liability and the underlying investment holdings are marked to market each quarter. Compensation expense related to the appreciation or depreciation is recognized based on the change in the proportionate fair value of the vested portion of the awards during the period, such that the recorded liability at each reporting date reflects the fair value of the portion of the awards for which the requisite service has been rendered. The change in value of the underlying investment holdings is recognized in non-operating income (expense) in the period of change. While there is a timing difference between the recognition of the compensation expense and the offsetting investment gain or loss, the compensation expense and investment income will net to zero at the end of the multi-year vesting period for all awards that ultimately vest.</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change in value of the investments had the following impact on the unaudited consolidated statements of operations:</w:t>
      </w:r>
    </w:p>
    <w:p>
      <w:pPr>
        <w:spacing w:after="0" w:line="44"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3020" w:type="dxa"/>
            <w:vAlign w:val="bottom"/>
          </w:tcPr>
          <w:p>
            <w:pPr>
              <w:spacing w:after="0"/>
              <w:rPr>
                <w:sz w:val="18"/>
                <w:szCs w:val="18"/>
                <w:color w:val="auto"/>
              </w:rPr>
            </w:pPr>
          </w:p>
        </w:tc>
        <w:tc>
          <w:tcPr>
            <w:tcW w:w="47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3220" w:type="dxa"/>
            <w:vAlign w:val="bottom"/>
            <w:tcBorders>
              <w:bottom w:val="single" w:sz="8" w:color="auto"/>
            </w:tcBorders>
            <w:gridSpan w:val="4"/>
          </w:tcPr>
          <w:p>
            <w:pPr>
              <w:jc w:val="right"/>
              <w:ind w:right="259"/>
              <w:spacing w:after="0"/>
              <w:rPr>
                <w:sz w:val="20"/>
                <w:szCs w:val="20"/>
                <w:color w:val="auto"/>
              </w:rPr>
            </w:pPr>
            <w:r>
              <w:rPr>
                <w:rFonts w:ascii="Times New Roman" w:cs="Times New Roman" w:eastAsia="Times New Roman" w:hAnsi="Times New Roman"/>
                <w:sz w:val="16"/>
                <w:szCs w:val="16"/>
                <w:b w:val="1"/>
                <w:bCs w:val="1"/>
                <w:color w:val="auto"/>
              </w:rPr>
              <w:t>For the Three Months Ended March 31,</w:t>
            </w:r>
          </w:p>
        </w:tc>
      </w:tr>
      <w:tr>
        <w:trPr>
          <w:trHeight w:val="214"/>
        </w:trPr>
        <w:tc>
          <w:tcPr>
            <w:tcW w:w="3020" w:type="dxa"/>
            <w:vAlign w:val="bottom"/>
            <w:tcBorders>
              <w:bottom w:val="single" w:sz="8" w:color="auto"/>
            </w:tcBorders>
          </w:tcPr>
          <w:p>
            <w:pPr>
              <w:ind w:left="520"/>
              <w:spacing w:after="0"/>
              <w:rPr>
                <w:sz w:val="20"/>
                <w:szCs w:val="20"/>
                <w:color w:val="auto"/>
              </w:rPr>
            </w:pPr>
            <w:r>
              <w:rPr>
                <w:rFonts w:ascii="Times New Roman" w:cs="Times New Roman" w:eastAsia="Times New Roman" w:hAnsi="Times New Roman"/>
                <w:sz w:val="16"/>
                <w:szCs w:val="16"/>
                <w:b w:val="1"/>
                <w:bCs w:val="1"/>
                <w:color w:val="auto"/>
              </w:rPr>
              <w:t>Statement of Operations Section</w:t>
            </w:r>
          </w:p>
        </w:tc>
        <w:tc>
          <w:tcPr>
            <w:tcW w:w="4780" w:type="dxa"/>
            <w:vAlign w:val="bottom"/>
            <w:tcBorders>
              <w:bottom w:val="single" w:sz="8" w:color="auto"/>
            </w:tcBorders>
          </w:tcPr>
          <w:p>
            <w:pPr>
              <w:ind w:left="1300"/>
              <w:spacing w:after="0"/>
              <w:rPr>
                <w:sz w:val="20"/>
                <w:szCs w:val="20"/>
                <w:color w:val="auto"/>
              </w:rPr>
            </w:pPr>
            <w:r>
              <w:rPr>
                <w:rFonts w:ascii="Times New Roman" w:cs="Times New Roman" w:eastAsia="Times New Roman" w:hAnsi="Times New Roman"/>
                <w:sz w:val="16"/>
                <w:szCs w:val="16"/>
                <w:b w:val="1"/>
                <w:bCs w:val="1"/>
                <w:color w:val="auto"/>
              </w:rPr>
              <w:t>Statement of Operations Line Item</w:t>
            </w:r>
          </w:p>
        </w:tc>
        <w:tc>
          <w:tcPr>
            <w:tcW w:w="22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ind w:right="599"/>
              <w:spacing w:after="0"/>
              <w:rPr>
                <w:sz w:val="20"/>
                <w:szCs w:val="20"/>
                <w:color w:val="auto"/>
              </w:rPr>
            </w:pPr>
            <w:r>
              <w:rPr>
                <w:rFonts w:ascii="Times New Roman" w:cs="Times New Roman" w:eastAsia="Times New Roman" w:hAnsi="Times New Roman"/>
                <w:sz w:val="16"/>
                <w:szCs w:val="16"/>
                <w:b w:val="1"/>
                <w:bCs w:val="1"/>
                <w:color w:val="auto"/>
              </w:rPr>
              <w:t>2026</w:t>
            </w:r>
          </w:p>
        </w:tc>
        <w:tc>
          <w:tcPr>
            <w:tcW w:w="12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579"/>
              <w:spacing w:after="0"/>
              <w:rPr>
                <w:sz w:val="20"/>
                <w:szCs w:val="20"/>
                <w:color w:val="auto"/>
              </w:rPr>
            </w:pPr>
            <w:r>
              <w:rPr>
                <w:rFonts w:ascii="Times New Roman" w:cs="Times New Roman" w:eastAsia="Times New Roman" w:hAnsi="Times New Roman"/>
                <w:sz w:val="16"/>
                <w:szCs w:val="16"/>
                <w:b w:val="1"/>
                <w:bCs w:val="1"/>
                <w:color w:val="auto"/>
              </w:rPr>
              <w:t>2025</w:t>
            </w:r>
          </w:p>
        </w:tc>
      </w:tr>
      <w:tr>
        <w:trPr>
          <w:trHeight w:val="211"/>
        </w:trPr>
        <w:tc>
          <w:tcPr>
            <w:tcW w:w="3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Operating expenses (benefit)</w:t>
            </w:r>
          </w:p>
        </w:tc>
        <w:tc>
          <w:tcPr>
            <w:tcW w:w="47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Compensation and benefits</w:t>
            </w:r>
          </w:p>
        </w:tc>
        <w:tc>
          <w:tcPr>
            <w:tcW w:w="2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2,512</w:t>
            </w:r>
          </w:p>
        </w:tc>
      </w:tr>
      <w:tr>
        <w:trPr>
          <w:trHeight w:val="213"/>
        </w:trPr>
        <w:tc>
          <w:tcPr>
            <w:tcW w:w="30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Non-operating income (expense)</w:t>
            </w:r>
          </w:p>
        </w:tc>
        <w:tc>
          <w:tcPr>
            <w:tcW w:w="478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Net investment gain (loss) of nonconsolidated investment products</w:t>
            </w:r>
          </w:p>
        </w:tc>
        <w:tc>
          <w:tcPr>
            <w:tcW w:w="22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(6,423)</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2,077</w:t>
            </w:r>
          </w:p>
        </w:tc>
      </w:tr>
      <w:tr>
        <w:trPr>
          <w:trHeight w:val="219"/>
        </w:trPr>
        <w:tc>
          <w:tcPr>
            <w:tcW w:w="3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Non-operating income (expense)</w:t>
            </w:r>
          </w:p>
        </w:tc>
        <w:tc>
          <w:tcPr>
            <w:tcW w:w="47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Net investment gain (loss) of consolidated investment products</w:t>
            </w:r>
          </w:p>
        </w:tc>
        <w:tc>
          <w:tcPr>
            <w:tcW w:w="2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128</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512</w:t>
            </w:r>
          </w:p>
        </w:tc>
      </w:tr>
    </w:tbl>
    <w:p>
      <w:pPr>
        <w:spacing w:after="0" w:line="189" w:lineRule="exact"/>
        <w:rPr>
          <w:sz w:val="20"/>
          <w:szCs w:val="20"/>
          <w:color w:val="auto"/>
        </w:rPr>
      </w:pPr>
    </w:p>
    <w:p>
      <w:pPr>
        <w:ind w:right="140"/>
        <w:spacing w:after="0" w:line="280" w:lineRule="auto"/>
        <w:rPr>
          <w:sz w:val="20"/>
          <w:szCs w:val="20"/>
          <w:color w:val="auto"/>
        </w:rPr>
      </w:pPr>
      <w:r>
        <w:rPr>
          <w:rFonts w:ascii="Times New Roman" w:cs="Times New Roman" w:eastAsia="Times New Roman" w:hAnsi="Times New Roman"/>
          <w:sz w:val="16"/>
          <w:szCs w:val="16"/>
          <w:color w:val="auto"/>
        </w:rPr>
        <w:t>The unrecognized compensation expense for the unvested franchise capital awards as of March 31, 2026 was $147.8 million with a weighted average recognition period of 2.6 years remaining.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Note 12. Income Taxes and Related Payments</w:t>
      </w:r>
    </w:p>
    <w:p>
      <w:pPr>
        <w:spacing w:after="0" w:line="115" w:lineRule="exact"/>
        <w:rPr>
          <w:sz w:val="20"/>
          <w:szCs w:val="20"/>
          <w:color w:val="auto"/>
        </w:rPr>
      </w:pPr>
    </w:p>
    <w:p>
      <w:pPr>
        <w:jc w:val="both"/>
        <w:ind w:right="220"/>
        <w:spacing w:after="0" w:line="263" w:lineRule="auto"/>
        <w:rPr>
          <w:sz w:val="20"/>
          <w:szCs w:val="20"/>
          <w:color w:val="auto"/>
        </w:rPr>
      </w:pPr>
      <w:r>
        <w:rPr>
          <w:rFonts w:ascii="Times New Roman" w:cs="Times New Roman" w:eastAsia="Times New Roman" w:hAnsi="Times New Roman"/>
          <w:sz w:val="16"/>
          <w:szCs w:val="16"/>
          <w:color w:val="auto"/>
        </w:rPr>
        <w:t>APAM is subject to U.S. federal, state and local income taxation on APAM’s allocable portion of Holdings’ income as well as foreign income taxes payable by Holdings’ subsidiaries. APAM’s effective tax rate was 21.7% and 20.6% for the three months ended March 31, 2026 and 2025, respectively. APAM’s effective income tax rate was higher than the U.S. federal statutory rate of 21% primarily due to the impact of state and local taxes and limits on executive compensation. This was partially offset by a rate benefit attributable to the fact that, for the three months ended March 31, 2026, approximately 14% of Artisan Partners Holdings’ full year projected taxable earnings were attributable to other partners and not subject to corporate-level taxes as well as tax deductible dividends paid on unvested restricted share-based awards.</w:t>
      </w:r>
    </w:p>
    <w:p>
      <w:pPr>
        <w:spacing w:after="0" w:line="72"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800" w:type="dxa"/>
            <w:vAlign w:val="bottom"/>
          </w:tcPr>
          <w:p>
            <w:pPr>
              <w:spacing w:after="0"/>
              <w:rPr>
                <w:sz w:val="20"/>
                <w:szCs w:val="20"/>
                <w:color w:val="auto"/>
              </w:rPr>
            </w:pPr>
            <w:r>
              <w:rPr>
                <w:rFonts w:ascii="Times New Roman" w:cs="Times New Roman" w:eastAsia="Times New Roman" w:hAnsi="Times New Roman"/>
                <w:sz w:val="16"/>
                <w:szCs w:val="16"/>
                <w:color w:val="auto"/>
              </w:rPr>
              <w:t>Components of the provision for income taxes consist of the following:</w:t>
            </w:r>
          </w:p>
        </w:tc>
        <w:tc>
          <w:tcPr>
            <w:tcW w:w="10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80" w:type="dxa"/>
            <w:vAlign w:val="bottom"/>
          </w:tcPr>
          <w:p>
            <w:pPr>
              <w:spacing w:after="0"/>
              <w:rPr>
                <w:sz w:val="18"/>
                <w:szCs w:val="18"/>
                <w:color w:val="auto"/>
              </w:rPr>
            </w:pPr>
          </w:p>
        </w:tc>
      </w:tr>
      <w:tr>
        <w:trPr>
          <w:trHeight w:val="246"/>
        </w:trPr>
        <w:tc>
          <w:tcPr>
            <w:tcW w:w="7800" w:type="dxa"/>
            <w:vAlign w:val="bottom"/>
          </w:tcPr>
          <w:p>
            <w:pPr>
              <w:spacing w:after="0"/>
              <w:rPr>
                <w:sz w:val="21"/>
                <w:szCs w:val="21"/>
                <w:color w:val="auto"/>
              </w:rPr>
            </w:pPr>
          </w:p>
        </w:tc>
        <w:tc>
          <w:tcPr>
            <w:tcW w:w="3440" w:type="dxa"/>
            <w:vAlign w:val="bottom"/>
            <w:tcBorders>
              <w:bottom w:val="single" w:sz="8" w:color="auto"/>
            </w:tcBorders>
            <w:gridSpan w:val="5"/>
          </w:tcPr>
          <w:p>
            <w:pPr>
              <w:jc w:val="right"/>
              <w:ind w:right="259"/>
              <w:spacing w:after="0"/>
              <w:rPr>
                <w:sz w:val="20"/>
                <w:szCs w:val="20"/>
                <w:color w:val="auto"/>
              </w:rPr>
            </w:pPr>
            <w:r>
              <w:rPr>
                <w:rFonts w:ascii="Times New Roman" w:cs="Times New Roman" w:eastAsia="Times New Roman" w:hAnsi="Times New Roman"/>
                <w:sz w:val="16"/>
                <w:szCs w:val="16"/>
                <w:b w:val="1"/>
                <w:bCs w:val="1"/>
                <w:color w:val="auto"/>
              </w:rPr>
              <w:t>For the Three Months Ended March 31,</w:t>
            </w:r>
          </w:p>
        </w:tc>
      </w:tr>
      <w:tr>
        <w:trPr>
          <w:trHeight w:val="209"/>
        </w:trPr>
        <w:tc>
          <w:tcPr>
            <w:tcW w:w="7800" w:type="dxa"/>
            <w:vAlign w:val="bottom"/>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2026</w:t>
            </w:r>
          </w:p>
        </w:tc>
        <w:tc>
          <w:tcPr>
            <w:tcW w:w="60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579"/>
              <w:spacing w:after="0"/>
              <w:rPr>
                <w:sz w:val="20"/>
                <w:szCs w:val="20"/>
                <w:color w:val="auto"/>
              </w:rPr>
            </w:pPr>
            <w:r>
              <w:rPr>
                <w:rFonts w:ascii="Times New Roman" w:cs="Times New Roman" w:eastAsia="Times New Roman" w:hAnsi="Times New Roman"/>
                <w:sz w:val="16"/>
                <w:szCs w:val="16"/>
                <w:b w:val="1"/>
                <w:bCs w:val="1"/>
                <w:color w:val="auto"/>
              </w:rPr>
              <w:t>2025</w:t>
            </w:r>
          </w:p>
        </w:tc>
      </w:tr>
      <w:tr>
        <w:trPr>
          <w:trHeight w:val="197"/>
        </w:trPr>
        <w:tc>
          <w:tcPr>
            <w:tcW w:w="78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Current:</w:t>
            </w:r>
          </w:p>
        </w:tc>
        <w:tc>
          <w:tcPr>
            <w:tcW w:w="10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80" w:type="dxa"/>
            <w:vAlign w:val="bottom"/>
          </w:tcPr>
          <w:p>
            <w:pPr>
              <w:spacing w:after="0"/>
              <w:rPr>
                <w:sz w:val="17"/>
                <w:szCs w:val="17"/>
                <w:color w:val="auto"/>
              </w:rPr>
            </w:pPr>
          </w:p>
        </w:tc>
      </w:tr>
      <w:tr>
        <w:trPr>
          <w:trHeight w:val="219"/>
        </w:trPr>
        <w:tc>
          <w:tcPr>
            <w:tcW w:w="78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Federal</w:t>
            </w:r>
          </w:p>
        </w:tc>
        <w:tc>
          <w:tcPr>
            <w:tcW w:w="1060" w:type="dxa"/>
            <w:vAlign w:val="bottom"/>
            <w:shd w:val="clear" w:color="auto" w:fill="CCEEFF"/>
          </w:tcPr>
          <w:p>
            <w:pPr>
              <w:jc w:val="right"/>
              <w:ind w:right="879"/>
              <w:spacing w:after="0"/>
              <w:rPr>
                <w:sz w:val="20"/>
                <w:szCs w:val="20"/>
                <w:color w:val="auto"/>
              </w:rPr>
            </w:pPr>
            <w:r>
              <w:rPr>
                <w:rFonts w:ascii="Times New Roman" w:cs="Times New Roman" w:eastAsia="Times New Roman" w:hAnsi="Times New Roman"/>
                <w:sz w:val="16"/>
                <w:szCs w:val="16"/>
                <w:color w:val="auto"/>
                <w:w w:val="99"/>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5,978</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6,936</w:t>
            </w:r>
          </w:p>
        </w:tc>
      </w:tr>
      <w:tr>
        <w:trPr>
          <w:trHeight w:val="213"/>
        </w:trPr>
        <w:tc>
          <w:tcPr>
            <w:tcW w:w="780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State and local</w:t>
            </w:r>
          </w:p>
        </w:tc>
        <w:tc>
          <w:tcPr>
            <w:tcW w:w="10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1,930</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2,100</w:t>
            </w:r>
          </w:p>
        </w:tc>
      </w:tr>
      <w:tr>
        <w:trPr>
          <w:trHeight w:val="219"/>
        </w:trPr>
        <w:tc>
          <w:tcPr>
            <w:tcW w:w="78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Foreign</w:t>
            </w:r>
          </w:p>
        </w:tc>
        <w:tc>
          <w:tcPr>
            <w:tcW w:w="106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189</w:t>
            </w:r>
          </w:p>
        </w:tc>
        <w:tc>
          <w:tcPr>
            <w:tcW w:w="12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155</w:t>
            </w:r>
          </w:p>
        </w:tc>
      </w:tr>
      <w:tr>
        <w:trPr>
          <w:trHeight w:val="207"/>
        </w:trPr>
        <w:tc>
          <w:tcPr>
            <w:tcW w:w="7800" w:type="dxa"/>
            <w:vAlign w:val="bottom"/>
            <w:tcBorders>
              <w:bottom w:val="single" w:sz="8" w:color="CCEEFF"/>
            </w:tcBorders>
          </w:tcPr>
          <w:p>
            <w:pPr>
              <w:ind w:left="480"/>
              <w:spacing w:after="0"/>
              <w:rPr>
                <w:sz w:val="20"/>
                <w:szCs w:val="20"/>
                <w:color w:val="auto"/>
              </w:rPr>
            </w:pPr>
            <w:r>
              <w:rPr>
                <w:rFonts w:ascii="Times New Roman" w:cs="Times New Roman" w:eastAsia="Times New Roman" w:hAnsi="Times New Roman"/>
                <w:sz w:val="16"/>
                <w:szCs w:val="16"/>
                <w:color w:val="auto"/>
              </w:rPr>
              <w:t>Total</w:t>
            </w:r>
          </w:p>
        </w:tc>
        <w:tc>
          <w:tcPr>
            <w:tcW w:w="106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8,097</w:t>
            </w:r>
          </w:p>
        </w:tc>
        <w:tc>
          <w:tcPr>
            <w:tcW w:w="12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9,191</w:t>
            </w:r>
          </w:p>
        </w:tc>
      </w:tr>
      <w:tr>
        <w:trPr>
          <w:trHeight w:val="199"/>
        </w:trPr>
        <w:tc>
          <w:tcPr>
            <w:tcW w:w="7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Deferred:</w:t>
            </w:r>
          </w:p>
        </w:tc>
        <w:tc>
          <w:tcPr>
            <w:tcW w:w="106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r>
      <w:tr>
        <w:trPr>
          <w:trHeight w:val="213"/>
        </w:trPr>
        <w:tc>
          <w:tcPr>
            <w:tcW w:w="780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Federal</w:t>
            </w:r>
          </w:p>
        </w:tc>
        <w:tc>
          <w:tcPr>
            <w:tcW w:w="10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9,068</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9,196</w:t>
            </w:r>
          </w:p>
        </w:tc>
      </w:tr>
      <w:tr>
        <w:trPr>
          <w:trHeight w:val="219"/>
        </w:trPr>
        <w:tc>
          <w:tcPr>
            <w:tcW w:w="78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State and local</w:t>
            </w:r>
          </w:p>
        </w:tc>
        <w:tc>
          <w:tcPr>
            <w:tcW w:w="106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1,598</w:t>
            </w:r>
          </w:p>
        </w:tc>
        <w:tc>
          <w:tcPr>
            <w:tcW w:w="12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1,620</w:t>
            </w:r>
          </w:p>
        </w:tc>
      </w:tr>
      <w:tr>
        <w:trPr>
          <w:trHeight w:val="207"/>
        </w:trPr>
        <w:tc>
          <w:tcPr>
            <w:tcW w:w="7800" w:type="dxa"/>
            <w:vAlign w:val="bottom"/>
            <w:tcBorders>
              <w:bottom w:val="single" w:sz="8" w:color="CCEEFF"/>
            </w:tcBorders>
          </w:tcPr>
          <w:p>
            <w:pPr>
              <w:ind w:left="480"/>
              <w:spacing w:after="0"/>
              <w:rPr>
                <w:sz w:val="20"/>
                <w:szCs w:val="20"/>
                <w:color w:val="auto"/>
              </w:rPr>
            </w:pPr>
            <w:r>
              <w:rPr>
                <w:rFonts w:ascii="Times New Roman" w:cs="Times New Roman" w:eastAsia="Times New Roman" w:hAnsi="Times New Roman"/>
                <w:sz w:val="16"/>
                <w:szCs w:val="16"/>
                <w:color w:val="auto"/>
              </w:rPr>
              <w:t>Total</w:t>
            </w:r>
          </w:p>
        </w:tc>
        <w:tc>
          <w:tcPr>
            <w:tcW w:w="106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10,666</w:t>
            </w:r>
          </w:p>
        </w:tc>
        <w:tc>
          <w:tcPr>
            <w:tcW w:w="12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10,816</w:t>
            </w:r>
          </w:p>
        </w:tc>
      </w:tr>
      <w:tr>
        <w:trPr>
          <w:trHeight w:val="237"/>
        </w:trPr>
        <w:tc>
          <w:tcPr>
            <w:tcW w:w="78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Income tax expense (benefit)</w:t>
            </w:r>
          </w:p>
        </w:tc>
        <w:tc>
          <w:tcPr>
            <w:tcW w:w="1060" w:type="dxa"/>
            <w:vAlign w:val="bottom"/>
            <w:tcBorders>
              <w:bottom w:val="single" w:sz="8" w:color="auto"/>
            </w:tcBorders>
            <w:shd w:val="clear" w:color="auto" w:fill="CCEEFF"/>
          </w:tcPr>
          <w:p>
            <w:pPr>
              <w:jc w:val="right"/>
              <w:ind w:right="87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18,763</w:t>
            </w:r>
          </w:p>
        </w:tc>
        <w:tc>
          <w:tcPr>
            <w:tcW w:w="12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20,007</w:t>
            </w:r>
          </w:p>
        </w:tc>
      </w:tr>
      <w:tr>
        <w:trPr>
          <w:trHeight w:val="20"/>
        </w:trPr>
        <w:tc>
          <w:tcPr>
            <w:tcW w:w="780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r>
    </w:tbl>
    <w:p>
      <w:pPr>
        <w:spacing w:after="0" w:line="175" w:lineRule="exact"/>
        <w:rPr>
          <w:sz w:val="20"/>
          <w:szCs w:val="20"/>
          <w:color w:val="auto"/>
        </w:rPr>
      </w:pPr>
    </w:p>
    <w:p>
      <w:pPr>
        <w:ind w:right="120"/>
        <w:spacing w:after="0" w:line="269" w:lineRule="auto"/>
        <w:rPr>
          <w:sz w:val="20"/>
          <w:szCs w:val="20"/>
          <w:color w:val="auto"/>
        </w:rPr>
      </w:pPr>
      <w:r>
        <w:rPr>
          <w:rFonts w:ascii="Times New Roman" w:cs="Times New Roman" w:eastAsia="Times New Roman" w:hAnsi="Times New Roman"/>
          <w:sz w:val="16"/>
          <w:szCs w:val="16"/>
          <w:color w:val="auto"/>
        </w:rPr>
        <w:t>In connection with the IPO, APAM entered into two tax receivable agreements (“TRAs”). The first TRA generally provides for the payment by APAM to a private equity fund (the “Pre-H&amp;F Corp Merger Shareholder”) or its assignees of 85% of the applicable cash savings, if any, of U.S. federal, state and local income taxes that APAM actually realizes (or is deemed to realize in certain circumstances) as a result of (i) the tax attributes of the preferred units APAM acquired in the merger of a wholly-owned subsidiary of the Pre-H&amp;F Corp Merger Shareholder into APAM in March 2013 and (ii) tax benefits related to imputed interest.</w:t>
      </w:r>
    </w:p>
    <w:p>
      <w:pPr>
        <w:spacing w:after="0" w:line="66" w:lineRule="exact"/>
        <w:rPr>
          <w:sz w:val="20"/>
          <w:szCs w:val="20"/>
          <w:color w:val="auto"/>
        </w:rPr>
      </w:pPr>
    </w:p>
    <w:p>
      <w:pPr>
        <w:ind w:right="40"/>
        <w:spacing w:after="0" w:line="263" w:lineRule="auto"/>
        <w:rPr>
          <w:sz w:val="20"/>
          <w:szCs w:val="20"/>
          <w:color w:val="auto"/>
        </w:rPr>
      </w:pPr>
      <w:r>
        <w:rPr>
          <w:rFonts w:ascii="Times New Roman" w:cs="Times New Roman" w:eastAsia="Times New Roman" w:hAnsi="Times New Roman"/>
          <w:sz w:val="16"/>
          <w:szCs w:val="16"/>
          <w:color w:val="auto"/>
        </w:rPr>
        <w:t>The second TRA generally provides for the payment by APAM to current or former limited partners of Holdings at the date of the IPO (or their assignees) of 85% of the applicable cash savings, if any, of U.S. federal, state and local income taxes that APAM actually realizes (or is deemed to realize in certain circumstances) as a result of (i) certain tax attributes of their partnership units sold to APAM or exchanged (for shares of Class A common stock, convertible preferred stock or other consideration) and that are created as a result of such sales or exchanges and payments under the TRAs and (ii) tax benefits related to imputed interest. Under both agreements, APAM generally will retain the benefit of the remaining 15% of the applicable tax savings.</w:t>
      </w:r>
    </w:p>
    <w:p>
      <w:pPr>
        <w:spacing w:after="0" w:line="207" w:lineRule="exact"/>
        <w:rPr>
          <w:sz w:val="20"/>
          <w:szCs w:val="20"/>
          <w:color w:val="auto"/>
        </w:rPr>
      </w:pPr>
    </w:p>
    <w:p>
      <w:pPr>
        <w:jc w:val="both"/>
        <w:ind w:right="100"/>
        <w:spacing w:after="0" w:line="263" w:lineRule="auto"/>
        <w:rPr>
          <w:sz w:val="20"/>
          <w:szCs w:val="20"/>
          <w:color w:val="auto"/>
        </w:rPr>
      </w:pPr>
      <w:r>
        <w:rPr>
          <w:rFonts w:ascii="Times New Roman" w:cs="Times New Roman" w:eastAsia="Times New Roman" w:hAnsi="Times New Roman"/>
          <w:sz w:val="16"/>
          <w:szCs w:val="16"/>
          <w:color w:val="auto"/>
        </w:rPr>
        <w:t>For purposes of the TRAs, cash savings of income taxes are calculated by comparing APAM’s actual income tax liability to the amount it would have been required to pay had it not been able to utilize any of the tax benefits subject to the TRAs, unless certain assumptions apply. The TRAs will continue in effect until all such tax benefits have been utilized or expired, unless APAM exercises its right to terminate the agreements or payments under the agreements are accelerated in the event that APAM materially breaches any of its material obligations under the agreements.</w:t>
      </w:r>
    </w:p>
    <w:p>
      <w:pPr>
        <w:spacing w:after="0" w:line="206" w:lineRule="exact"/>
        <w:rPr>
          <w:sz w:val="20"/>
          <w:szCs w:val="20"/>
          <w:color w:val="auto"/>
        </w:rPr>
      </w:pPr>
    </w:p>
    <w:p>
      <w:pPr>
        <w:ind w:right="80"/>
        <w:spacing w:after="0" w:line="269" w:lineRule="auto"/>
        <w:rPr>
          <w:sz w:val="20"/>
          <w:szCs w:val="20"/>
          <w:color w:val="auto"/>
        </w:rPr>
      </w:pPr>
      <w:r>
        <w:rPr>
          <w:rFonts w:ascii="Times New Roman" w:cs="Times New Roman" w:eastAsia="Times New Roman" w:hAnsi="Times New Roman"/>
          <w:sz w:val="16"/>
          <w:szCs w:val="16"/>
          <w:color w:val="auto"/>
        </w:rPr>
        <w:t>The actual increase in tax basis, as well as the amount and timing of any payments under these agreements, will vary depending upon a number of factors, including the timing of sales or exchanges by the holders of limited partnership units, the price of the Class A common stock at the time of such sales or exchanges, whether such sales or exchanges are taxable, the amount and timing of the taxable income APAM generates in the future and the tax rate then applicable and the portion of APAM’s payments under the TRAs constituting imputed interest or depreciable basis or amortizable basis.</w:t>
      </w:r>
    </w:p>
    <w:p>
      <w:pPr>
        <w:spacing w:after="0" w:line="66" w:lineRule="exact"/>
        <w:rPr>
          <w:sz w:val="20"/>
          <w:szCs w:val="20"/>
          <w:color w:val="auto"/>
        </w:rPr>
      </w:pPr>
    </w:p>
    <w:p>
      <w:pPr>
        <w:jc w:val="both"/>
        <w:ind w:right="160"/>
        <w:spacing w:after="0" w:line="263" w:lineRule="auto"/>
        <w:rPr>
          <w:sz w:val="20"/>
          <w:szCs w:val="20"/>
          <w:color w:val="auto"/>
        </w:rPr>
      </w:pPr>
      <w:r>
        <w:rPr>
          <w:rFonts w:ascii="Times New Roman" w:cs="Times New Roman" w:eastAsia="Times New Roman" w:hAnsi="Times New Roman"/>
          <w:sz w:val="16"/>
          <w:szCs w:val="16"/>
          <w:color w:val="auto"/>
        </w:rPr>
        <w:t>Payments under the TRAs, if any, will be made pro rata among all TRA counterparties entitled to payments on an annual basis to the extent APAM has sufficient taxable income to utilize the increased depreciation and amortization charges and imputed interest deductions. Artisan expects to make one or more payments under the TRAs, to the extent they are required, prior to or within 125 days after APAM’s U.S. federal income tax return is filed for each fiscal year. Interest on the TRA payments will accrue from the due date (without extension) of such tax return until such payments are made. Amounts payable under the TRAs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both"/>
        <w:ind w:right="40"/>
        <w:spacing w:after="0" w:line="272" w:lineRule="auto"/>
        <w:rPr>
          <w:sz w:val="20"/>
          <w:szCs w:val="20"/>
          <w:color w:val="auto"/>
        </w:rPr>
      </w:pPr>
      <w:r>
        <w:rPr>
          <w:rFonts w:ascii="Times New Roman" w:cs="Times New Roman" w:eastAsia="Times New Roman" w:hAnsi="Times New Roman"/>
          <w:sz w:val="16"/>
          <w:szCs w:val="16"/>
          <w:color w:val="auto"/>
        </w:rPr>
        <w:t>are estimates which may be impacted by factors, including but not limited to, expected tax rates, projected taxable income, and projected ownership levels and are subject to change. Changes in the estimates of amounts payable under tax receivable agreements are recorded as non-operating income (loss) in the unaudited consolidated statements of operations.</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change in the Company’s deferred tax assets related to the tax benefits described above and the change in corresponding amounts payable under the TRAs for the three</w:t>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800" w:type="dxa"/>
            <w:vAlign w:val="bottom"/>
          </w:tcPr>
          <w:p>
            <w:pPr>
              <w:spacing w:after="0"/>
              <w:rPr>
                <w:sz w:val="20"/>
                <w:szCs w:val="20"/>
                <w:color w:val="auto"/>
              </w:rPr>
            </w:pPr>
            <w:r>
              <w:rPr>
                <w:rFonts w:ascii="Times New Roman" w:cs="Times New Roman" w:eastAsia="Times New Roman" w:hAnsi="Times New Roman"/>
                <w:sz w:val="16"/>
                <w:szCs w:val="16"/>
                <w:color w:val="auto"/>
              </w:rPr>
              <w:t>months ended March 31, 2026, is summarized as follows:</w:t>
            </w:r>
          </w:p>
        </w:tc>
        <w:tc>
          <w:tcPr>
            <w:tcW w:w="10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82"/>
        </w:trPr>
        <w:tc>
          <w:tcPr>
            <w:tcW w:w="7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8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Deferred Tax Asset -</w:t>
            </w:r>
          </w:p>
        </w:tc>
        <w:tc>
          <w:tcPr>
            <w:tcW w:w="120" w:type="dxa"/>
            <w:vAlign w:val="bottom"/>
          </w:tcPr>
          <w:p>
            <w:pPr>
              <w:spacing w:after="0"/>
              <w:rPr>
                <w:sz w:val="24"/>
                <w:szCs w:val="24"/>
                <w:color w:val="auto"/>
              </w:rPr>
            </w:pPr>
          </w:p>
        </w:tc>
        <w:tc>
          <w:tcPr>
            <w:tcW w:w="1540" w:type="dxa"/>
            <w:vAlign w:val="bottom"/>
          </w:tcPr>
          <w:p>
            <w:pPr>
              <w:jc w:val="center"/>
              <w:ind w:right="39"/>
              <w:spacing w:after="0"/>
              <w:rPr>
                <w:sz w:val="20"/>
                <w:szCs w:val="20"/>
                <w:color w:val="auto"/>
              </w:rPr>
            </w:pPr>
            <w:r>
              <w:rPr>
                <w:rFonts w:ascii="Times New Roman" w:cs="Times New Roman" w:eastAsia="Times New Roman" w:hAnsi="Times New Roman"/>
                <w:sz w:val="16"/>
                <w:szCs w:val="16"/>
                <w:b w:val="1"/>
                <w:bCs w:val="1"/>
                <w:color w:val="auto"/>
              </w:rPr>
              <w:t>Amounts Payable</w:t>
            </w:r>
          </w:p>
        </w:tc>
        <w:tc>
          <w:tcPr>
            <w:tcW w:w="0" w:type="dxa"/>
            <w:vAlign w:val="bottom"/>
          </w:tcPr>
          <w:p>
            <w:pPr>
              <w:spacing w:after="0"/>
              <w:rPr>
                <w:sz w:val="1"/>
                <w:szCs w:val="1"/>
                <w:color w:val="auto"/>
              </w:rPr>
            </w:pPr>
          </w:p>
        </w:tc>
      </w:tr>
      <w:tr>
        <w:trPr>
          <w:trHeight w:val="214"/>
        </w:trPr>
        <w:tc>
          <w:tcPr>
            <w:tcW w:w="7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8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Amortizable Basis</w:t>
            </w:r>
          </w:p>
        </w:tc>
        <w:tc>
          <w:tcPr>
            <w:tcW w:w="120" w:type="dxa"/>
            <w:vAlign w:val="bottom"/>
          </w:tcPr>
          <w:p>
            <w:pPr>
              <w:spacing w:after="0"/>
              <w:rPr>
                <w:sz w:val="18"/>
                <w:szCs w:val="18"/>
                <w:color w:val="auto"/>
              </w:rPr>
            </w:pPr>
          </w:p>
        </w:tc>
        <w:tc>
          <w:tcPr>
            <w:tcW w:w="1540" w:type="dxa"/>
            <w:vAlign w:val="bottom"/>
          </w:tcPr>
          <w:p>
            <w:pPr>
              <w:jc w:val="center"/>
              <w:ind w:right="39"/>
              <w:spacing w:after="0"/>
              <w:rPr>
                <w:sz w:val="20"/>
                <w:szCs w:val="20"/>
                <w:color w:val="auto"/>
              </w:rPr>
            </w:pPr>
            <w:r>
              <w:rPr>
                <w:rFonts w:ascii="Times New Roman" w:cs="Times New Roman" w:eastAsia="Times New Roman" w:hAnsi="Times New Roman"/>
                <w:sz w:val="16"/>
                <w:szCs w:val="16"/>
                <w:b w:val="1"/>
                <w:bCs w:val="1"/>
                <w:color w:val="auto"/>
              </w:rPr>
              <w:t>Under TRAs</w:t>
            </w:r>
          </w:p>
        </w:tc>
        <w:tc>
          <w:tcPr>
            <w:tcW w:w="0" w:type="dxa"/>
            <w:vAlign w:val="bottom"/>
          </w:tcPr>
          <w:p>
            <w:pPr>
              <w:spacing w:after="0"/>
              <w:rPr>
                <w:sz w:val="1"/>
                <w:szCs w:val="1"/>
                <w:color w:val="auto"/>
              </w:rPr>
            </w:pPr>
          </w:p>
        </w:tc>
      </w:tr>
      <w:tr>
        <w:trPr>
          <w:trHeight w:val="211"/>
        </w:trPr>
        <w:tc>
          <w:tcPr>
            <w:tcW w:w="78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December 31, 2025</w:t>
            </w: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308,015</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303,368</w:t>
            </w:r>
          </w:p>
        </w:tc>
        <w:tc>
          <w:tcPr>
            <w:tcW w:w="0" w:type="dxa"/>
            <w:vAlign w:val="bottom"/>
          </w:tcPr>
          <w:p>
            <w:pPr>
              <w:spacing w:after="0"/>
              <w:rPr>
                <w:sz w:val="1"/>
                <w:szCs w:val="1"/>
                <w:color w:val="auto"/>
              </w:rPr>
            </w:pPr>
          </w:p>
        </w:tc>
      </w:tr>
      <w:tr>
        <w:trPr>
          <w:trHeight w:val="213"/>
        </w:trPr>
        <w:tc>
          <w:tcPr>
            <w:tcW w:w="78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2026 Holdings Common Unit Exchanges</w:t>
            </w:r>
          </w:p>
        </w:tc>
        <w:tc>
          <w:tcPr>
            <w:tcW w:w="10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2,188</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1,860</w:t>
            </w:r>
          </w:p>
        </w:tc>
        <w:tc>
          <w:tcPr>
            <w:tcW w:w="0" w:type="dxa"/>
            <w:vAlign w:val="bottom"/>
          </w:tcPr>
          <w:p>
            <w:pPr>
              <w:spacing w:after="0"/>
              <w:rPr>
                <w:sz w:val="1"/>
                <w:szCs w:val="1"/>
                <w:color w:val="auto"/>
              </w:rPr>
            </w:pPr>
          </w:p>
        </w:tc>
      </w:tr>
      <w:tr>
        <w:trPr>
          <w:trHeight w:val="219"/>
        </w:trPr>
        <w:tc>
          <w:tcPr>
            <w:tcW w:w="7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Amortization</w:t>
            </w:r>
          </w:p>
        </w:tc>
        <w:tc>
          <w:tcPr>
            <w:tcW w:w="10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(12,493)</w:t>
            </w:r>
          </w:p>
        </w:tc>
        <w:tc>
          <w:tcPr>
            <w:tcW w:w="1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9"/>
        </w:trPr>
        <w:tc>
          <w:tcPr>
            <w:tcW w:w="780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March 31, 2026</w:t>
            </w: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297,710</w:t>
            </w:r>
          </w:p>
        </w:tc>
        <w:tc>
          <w:tcPr>
            <w:tcW w:w="12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305,228</w:t>
            </w:r>
          </w:p>
        </w:tc>
        <w:tc>
          <w:tcPr>
            <w:tcW w:w="0" w:type="dxa"/>
            <w:vAlign w:val="bottom"/>
          </w:tcPr>
          <w:p>
            <w:pPr>
              <w:spacing w:after="0"/>
              <w:rPr>
                <w:sz w:val="1"/>
                <w:szCs w:val="1"/>
                <w:color w:val="auto"/>
              </w:rPr>
            </w:pPr>
          </w:p>
        </w:tc>
      </w:tr>
      <w:tr>
        <w:trPr>
          <w:trHeight w:val="21"/>
        </w:trPr>
        <w:tc>
          <w:tcPr>
            <w:tcW w:w="780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Net deferred tax assets comprise the following:</w:t>
            </w:r>
          </w:p>
        </w:tc>
        <w:tc>
          <w:tcPr>
            <w:tcW w:w="10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93"/>
        </w:trPr>
        <w:tc>
          <w:tcPr>
            <w:tcW w:w="780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1"/>
        </w:trPr>
        <w:tc>
          <w:tcPr>
            <w:tcW w:w="7800" w:type="dxa"/>
            <w:vAlign w:val="bottom"/>
          </w:tcPr>
          <w:p>
            <w:pPr>
              <w:spacing w:after="0"/>
              <w:rPr>
                <w:sz w:val="15"/>
                <w:szCs w:val="15"/>
                <w:color w:val="auto"/>
              </w:rPr>
            </w:pPr>
          </w:p>
        </w:tc>
        <w:tc>
          <w:tcPr>
            <w:tcW w:w="1780" w:type="dxa"/>
            <w:vAlign w:val="bottom"/>
            <w:gridSpan w:val="3"/>
            <w:vMerge w:val="restart"/>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As of March 31, 2026</w:t>
            </w:r>
          </w:p>
        </w:tc>
        <w:tc>
          <w:tcPr>
            <w:tcW w:w="120" w:type="dxa"/>
            <w:vAlign w:val="bottom"/>
          </w:tcPr>
          <w:p>
            <w:pPr>
              <w:spacing w:after="0"/>
              <w:rPr>
                <w:sz w:val="15"/>
                <w:szCs w:val="15"/>
                <w:color w:val="auto"/>
              </w:rPr>
            </w:pPr>
          </w:p>
        </w:tc>
        <w:tc>
          <w:tcPr>
            <w:tcW w:w="1540" w:type="dxa"/>
            <w:vAlign w:val="bottom"/>
          </w:tcPr>
          <w:p>
            <w:pPr>
              <w:jc w:val="center"/>
              <w:ind w:right="39"/>
              <w:spacing w:after="0" w:line="181" w:lineRule="exact"/>
              <w:rPr>
                <w:sz w:val="20"/>
                <w:szCs w:val="20"/>
                <w:color w:val="auto"/>
              </w:rPr>
            </w:pPr>
            <w:r>
              <w:rPr>
                <w:rFonts w:ascii="Times New Roman" w:cs="Times New Roman" w:eastAsia="Times New Roman" w:hAnsi="Times New Roman"/>
                <w:sz w:val="16"/>
                <w:szCs w:val="16"/>
                <w:b w:val="1"/>
                <w:bCs w:val="1"/>
                <w:color w:val="auto"/>
              </w:rPr>
              <w:t>As of December 31,</w:t>
            </w:r>
          </w:p>
        </w:tc>
        <w:tc>
          <w:tcPr>
            <w:tcW w:w="0" w:type="dxa"/>
            <w:vAlign w:val="bottom"/>
          </w:tcPr>
          <w:p>
            <w:pPr>
              <w:spacing w:after="0"/>
              <w:rPr>
                <w:sz w:val="1"/>
                <w:szCs w:val="1"/>
                <w:color w:val="auto"/>
              </w:rPr>
            </w:pPr>
          </w:p>
        </w:tc>
      </w:tr>
      <w:tr>
        <w:trPr>
          <w:trHeight w:val="212"/>
        </w:trPr>
        <w:tc>
          <w:tcPr>
            <w:tcW w:w="7800" w:type="dxa"/>
            <w:vAlign w:val="bottom"/>
          </w:tcPr>
          <w:p>
            <w:pPr>
              <w:spacing w:after="0"/>
              <w:rPr>
                <w:sz w:val="18"/>
                <w:szCs w:val="18"/>
                <w:color w:val="auto"/>
              </w:rPr>
            </w:pPr>
          </w:p>
        </w:tc>
        <w:tc>
          <w:tcPr>
            <w:tcW w:w="1780" w:type="dxa"/>
            <w:vAlign w:val="bottom"/>
            <w:gridSpan w:val="3"/>
            <w:vMerge w:val="continue"/>
          </w:tcPr>
          <w:p>
            <w:pPr>
              <w:spacing w:after="0"/>
              <w:rPr>
                <w:sz w:val="18"/>
                <w:szCs w:val="18"/>
                <w:color w:val="auto"/>
              </w:rPr>
            </w:pPr>
          </w:p>
        </w:tc>
        <w:tc>
          <w:tcPr>
            <w:tcW w:w="120" w:type="dxa"/>
            <w:vAlign w:val="bottom"/>
          </w:tcPr>
          <w:p>
            <w:pPr>
              <w:spacing w:after="0"/>
              <w:rPr>
                <w:sz w:val="18"/>
                <w:szCs w:val="18"/>
                <w:color w:val="auto"/>
              </w:rPr>
            </w:pPr>
          </w:p>
        </w:tc>
        <w:tc>
          <w:tcPr>
            <w:tcW w:w="1540" w:type="dxa"/>
            <w:vAlign w:val="bottom"/>
          </w:tcPr>
          <w:p>
            <w:pPr>
              <w:jc w:val="center"/>
              <w:ind w:right="39"/>
              <w:spacing w:after="0"/>
              <w:rPr>
                <w:sz w:val="20"/>
                <w:szCs w:val="20"/>
                <w:color w:val="auto"/>
              </w:rPr>
            </w:pPr>
            <w:r>
              <w:rPr>
                <w:rFonts w:ascii="Times New Roman" w:cs="Times New Roman" w:eastAsia="Times New Roman" w:hAnsi="Times New Roman"/>
                <w:sz w:val="16"/>
                <w:szCs w:val="16"/>
                <w:b w:val="1"/>
                <w:bCs w:val="1"/>
                <w:color w:val="auto"/>
              </w:rPr>
              <w:t>2025</w:t>
            </w:r>
          </w:p>
        </w:tc>
        <w:tc>
          <w:tcPr>
            <w:tcW w:w="0" w:type="dxa"/>
            <w:vAlign w:val="bottom"/>
          </w:tcPr>
          <w:p>
            <w:pPr>
              <w:spacing w:after="0"/>
              <w:rPr>
                <w:sz w:val="1"/>
                <w:szCs w:val="1"/>
                <w:color w:val="auto"/>
              </w:rPr>
            </w:pPr>
          </w:p>
        </w:tc>
      </w:tr>
      <w:tr>
        <w:trPr>
          <w:trHeight w:val="197"/>
        </w:trPr>
        <w:tc>
          <w:tcPr>
            <w:tcW w:w="78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Deferred tax assets:</w:t>
            </w:r>
          </w:p>
        </w:tc>
        <w:tc>
          <w:tcPr>
            <w:tcW w:w="100" w:type="dxa"/>
            <w:vAlign w:val="bottom"/>
            <w:tcBorders>
              <w:top w:val="single" w:sz="8" w:color="auto"/>
            </w:tcBorders>
          </w:tcPr>
          <w:p>
            <w:pPr>
              <w:spacing w:after="0"/>
              <w:rPr>
                <w:sz w:val="17"/>
                <w:szCs w:val="17"/>
                <w:color w:val="auto"/>
              </w:rPr>
            </w:pPr>
          </w:p>
        </w:tc>
        <w:tc>
          <w:tcPr>
            <w:tcW w:w="156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54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7800" w:type="dxa"/>
            <w:vAlign w:val="bottom"/>
            <w:shd w:val="clear" w:color="auto" w:fill="CCEEFF"/>
          </w:tcPr>
          <w:p>
            <w:pPr>
              <w:ind w:left="220"/>
              <w:spacing w:after="0" w:line="219" w:lineRule="exact"/>
              <w:rPr>
                <w:sz w:val="20"/>
                <w:szCs w:val="20"/>
                <w:color w:val="auto"/>
              </w:rPr>
            </w:pPr>
            <w:r>
              <w:rPr>
                <w:rFonts w:ascii="Times New Roman" w:cs="Times New Roman" w:eastAsia="Times New Roman" w:hAnsi="Times New Roman"/>
                <w:sz w:val="16"/>
                <w:szCs w:val="16"/>
                <w:color w:val="auto"/>
              </w:rPr>
              <w:t xml:space="preserve">Amortizable basis </w:t>
            </w:r>
            <w:r>
              <w:rPr>
                <w:rFonts w:ascii="Times New Roman" w:cs="Times New Roman" w:eastAsia="Times New Roman" w:hAnsi="Times New Roman"/>
                <w:sz w:val="21"/>
                <w:szCs w:val="21"/>
                <w:color w:val="auto"/>
                <w:vertAlign w:val="superscript"/>
              </w:rPr>
              <w:t>(1)</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297,710</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308,015</w:t>
            </w:r>
          </w:p>
        </w:tc>
        <w:tc>
          <w:tcPr>
            <w:tcW w:w="0" w:type="dxa"/>
            <w:vAlign w:val="bottom"/>
          </w:tcPr>
          <w:p>
            <w:pPr>
              <w:spacing w:after="0"/>
              <w:rPr>
                <w:sz w:val="1"/>
                <w:szCs w:val="1"/>
                <w:color w:val="auto"/>
              </w:rPr>
            </w:pPr>
          </w:p>
        </w:tc>
      </w:tr>
      <w:tr>
        <w:trPr>
          <w:trHeight w:val="216"/>
        </w:trPr>
        <w:tc>
          <w:tcPr>
            <w:tcW w:w="7800" w:type="dxa"/>
            <w:vAlign w:val="bottom"/>
            <w:tcBorders>
              <w:bottom w:val="single" w:sz="8" w:color="CCEEFF"/>
            </w:tcBorders>
          </w:tcPr>
          <w:p>
            <w:pPr>
              <w:ind w:left="220"/>
              <w:spacing w:after="0" w:line="216" w:lineRule="exact"/>
              <w:rPr>
                <w:sz w:val="20"/>
                <w:szCs w:val="20"/>
                <w:color w:val="auto"/>
              </w:rPr>
            </w:pPr>
            <w:r>
              <w:rPr>
                <w:rFonts w:ascii="Times New Roman" w:cs="Times New Roman" w:eastAsia="Times New Roman" w:hAnsi="Times New Roman"/>
                <w:sz w:val="16"/>
                <w:szCs w:val="16"/>
                <w:color w:val="auto"/>
              </w:rPr>
              <w:t xml:space="preserve">Other </w:t>
            </w:r>
            <w:r>
              <w:rPr>
                <w:rFonts w:ascii="Times New Roman" w:cs="Times New Roman" w:eastAsia="Times New Roman" w:hAnsi="Times New Roman"/>
                <w:sz w:val="21"/>
                <w:szCs w:val="21"/>
                <w:color w:val="auto"/>
                <w:vertAlign w:val="superscript"/>
              </w:rPr>
              <w:t>(2)</w:t>
            </w:r>
          </w:p>
        </w:tc>
        <w:tc>
          <w:tcPr>
            <w:tcW w:w="10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48,650</w:t>
            </w: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46,687</w:t>
            </w:r>
          </w:p>
        </w:tc>
        <w:tc>
          <w:tcPr>
            <w:tcW w:w="0" w:type="dxa"/>
            <w:vAlign w:val="bottom"/>
          </w:tcPr>
          <w:p>
            <w:pPr>
              <w:spacing w:after="0"/>
              <w:rPr>
                <w:sz w:val="1"/>
                <w:szCs w:val="1"/>
                <w:color w:val="auto"/>
              </w:rPr>
            </w:pPr>
          </w:p>
        </w:tc>
      </w:tr>
      <w:tr>
        <w:trPr>
          <w:trHeight w:val="209"/>
        </w:trPr>
        <w:tc>
          <w:tcPr>
            <w:tcW w:w="780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rPr>
              <w:t>Total deferred tax assets</w:t>
            </w:r>
          </w:p>
        </w:tc>
        <w:tc>
          <w:tcPr>
            <w:tcW w:w="100" w:type="dxa"/>
            <w:vAlign w:val="bottom"/>
            <w:shd w:val="clear" w:color="auto" w:fill="CCEEFF"/>
          </w:tcPr>
          <w:p>
            <w:pPr>
              <w:spacing w:after="0"/>
              <w:rPr>
                <w:sz w:val="18"/>
                <w:szCs w:val="18"/>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346,360</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354,702</w:t>
            </w:r>
          </w:p>
        </w:tc>
        <w:tc>
          <w:tcPr>
            <w:tcW w:w="0" w:type="dxa"/>
            <w:vAlign w:val="bottom"/>
          </w:tcPr>
          <w:p>
            <w:pPr>
              <w:spacing w:after="0"/>
              <w:rPr>
                <w:sz w:val="1"/>
                <w:szCs w:val="1"/>
                <w:color w:val="auto"/>
              </w:rPr>
            </w:pPr>
          </w:p>
        </w:tc>
      </w:tr>
      <w:tr>
        <w:trPr>
          <w:trHeight w:val="216"/>
        </w:trPr>
        <w:tc>
          <w:tcPr>
            <w:tcW w:w="7800" w:type="dxa"/>
            <w:vAlign w:val="bottom"/>
          </w:tcPr>
          <w:p>
            <w:pPr>
              <w:ind w:left="20"/>
              <w:spacing w:after="0" w:line="216" w:lineRule="exact"/>
              <w:rPr>
                <w:sz w:val="20"/>
                <w:szCs w:val="20"/>
                <w:color w:val="auto"/>
              </w:rPr>
            </w:pPr>
            <w:r>
              <w:rPr>
                <w:rFonts w:ascii="Times New Roman" w:cs="Times New Roman" w:eastAsia="Times New Roman" w:hAnsi="Times New Roman"/>
                <w:sz w:val="16"/>
                <w:szCs w:val="16"/>
                <w:color w:val="auto"/>
              </w:rPr>
              <w:t xml:space="preserve">Less: valuation allowance </w:t>
            </w:r>
            <w:r>
              <w:rPr>
                <w:rFonts w:ascii="Times New Roman" w:cs="Times New Roman" w:eastAsia="Times New Roman" w:hAnsi="Times New Roman"/>
                <w:sz w:val="21"/>
                <w:szCs w:val="21"/>
                <w:color w:val="auto"/>
                <w:vertAlign w:val="superscript"/>
              </w:rPr>
              <w:t>(3)</w:t>
            </w:r>
          </w:p>
        </w:tc>
        <w:tc>
          <w:tcPr>
            <w:tcW w:w="100" w:type="dxa"/>
            <w:vAlign w:val="bottom"/>
          </w:tcPr>
          <w:p>
            <w:pPr>
              <w:spacing w:after="0"/>
              <w:rPr>
                <w:sz w:val="18"/>
                <w:szCs w:val="18"/>
                <w:color w:val="auto"/>
              </w:rPr>
            </w:pPr>
          </w:p>
        </w:tc>
        <w:tc>
          <w:tcPr>
            <w:tcW w:w="16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34"/>
        </w:trPr>
        <w:tc>
          <w:tcPr>
            <w:tcW w:w="78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Net deferred tax assets</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346,360</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354,702</w:t>
            </w:r>
          </w:p>
        </w:tc>
        <w:tc>
          <w:tcPr>
            <w:tcW w:w="0" w:type="dxa"/>
            <w:vAlign w:val="bottom"/>
          </w:tcPr>
          <w:p>
            <w:pPr>
              <w:spacing w:after="0"/>
              <w:rPr>
                <w:sz w:val="1"/>
                <w:szCs w:val="1"/>
                <w:color w:val="auto"/>
              </w:rPr>
            </w:pPr>
          </w:p>
        </w:tc>
      </w:tr>
      <w:tr>
        <w:trPr>
          <w:trHeight w:val="20"/>
        </w:trPr>
        <w:tc>
          <w:tcPr>
            <w:tcW w:w="78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58" w:lineRule="exact"/>
        <w:rPr>
          <w:sz w:val="20"/>
          <w:szCs w:val="20"/>
          <w:color w:val="auto"/>
        </w:rPr>
      </w:pPr>
    </w:p>
    <w:p>
      <w:pPr>
        <w:ind w:left="180" w:right="140" w:hanging="154"/>
        <w:spacing w:after="0"/>
        <w:tabs>
          <w:tab w:leader="none" w:pos="163" w:val="left"/>
        </w:tabs>
        <w:numPr>
          <w:ilvl w:val="0"/>
          <w:numId w:val="13"/>
        </w:numPr>
        <w:rPr>
          <w:rFonts w:ascii="Times New Roman" w:cs="Times New Roman" w:eastAsia="Times New Roman" w:hAnsi="Times New Roman"/>
          <w:sz w:val="17"/>
          <w:szCs w:val="17"/>
          <w:color w:val="auto"/>
          <w:vertAlign w:val="superscript"/>
        </w:rPr>
      </w:pPr>
      <w:r>
        <w:rPr>
          <w:rFonts w:ascii="Times New Roman" w:cs="Times New Roman" w:eastAsia="Times New Roman" w:hAnsi="Times New Roman"/>
          <w:sz w:val="13"/>
          <w:szCs w:val="13"/>
          <w:color w:val="auto"/>
        </w:rPr>
        <w:t>Represents the unamortized step-up of tax basis and other tax attributes from the merger and partnership unit sales and exchanges described above. These future tax benefits are subject to the TRA agreements.</w:t>
      </w:r>
    </w:p>
    <w:p>
      <w:pPr>
        <w:spacing w:after="0" w:line="142" w:lineRule="exact"/>
        <w:rPr>
          <w:rFonts w:ascii="Times New Roman" w:cs="Times New Roman" w:eastAsia="Times New Roman" w:hAnsi="Times New Roman"/>
          <w:sz w:val="17"/>
          <w:szCs w:val="17"/>
          <w:color w:val="auto"/>
          <w:vertAlign w:val="superscript"/>
        </w:rPr>
      </w:pPr>
    </w:p>
    <w:p>
      <w:pPr>
        <w:ind w:left="180" w:right="500" w:hanging="154"/>
        <w:spacing w:after="0" w:line="234" w:lineRule="auto"/>
        <w:tabs>
          <w:tab w:leader="none" w:pos="163" w:val="left"/>
        </w:tabs>
        <w:numPr>
          <w:ilvl w:val="0"/>
          <w:numId w:val="13"/>
        </w:numPr>
        <w:rPr>
          <w:rFonts w:ascii="Times New Roman" w:cs="Times New Roman" w:eastAsia="Times New Roman" w:hAnsi="Times New Roman"/>
          <w:sz w:val="17"/>
          <w:szCs w:val="17"/>
          <w:color w:val="auto"/>
          <w:vertAlign w:val="superscript"/>
        </w:rPr>
      </w:pPr>
      <w:r>
        <w:rPr>
          <w:rFonts w:ascii="Times New Roman" w:cs="Times New Roman" w:eastAsia="Times New Roman" w:hAnsi="Times New Roman"/>
          <w:sz w:val="13"/>
          <w:szCs w:val="13"/>
          <w:color w:val="auto"/>
        </w:rPr>
        <w:t>Represents the net deferred tax assets associated with Artisan’s investment in Holdings, related primarily to incentive compensation plan deduction timing differences. These future tax benefits are not subject to the TRA agreements.</w:t>
      </w:r>
    </w:p>
    <w:p>
      <w:pPr>
        <w:spacing w:after="0" w:line="41" w:lineRule="exact"/>
        <w:rPr>
          <w:rFonts w:ascii="Times New Roman" w:cs="Times New Roman" w:eastAsia="Times New Roman" w:hAnsi="Times New Roman"/>
          <w:sz w:val="17"/>
          <w:szCs w:val="17"/>
          <w:color w:val="auto"/>
          <w:vertAlign w:val="superscript"/>
        </w:rPr>
      </w:pPr>
    </w:p>
    <w:p>
      <w:pPr>
        <w:ind w:left="180" w:right="760" w:hanging="154"/>
        <w:spacing w:after="0" w:line="234" w:lineRule="auto"/>
        <w:tabs>
          <w:tab w:leader="none" w:pos="163" w:val="left"/>
        </w:tabs>
        <w:numPr>
          <w:ilvl w:val="0"/>
          <w:numId w:val="13"/>
        </w:numPr>
        <w:rPr>
          <w:rFonts w:ascii="Times New Roman" w:cs="Times New Roman" w:eastAsia="Times New Roman" w:hAnsi="Times New Roman"/>
          <w:sz w:val="17"/>
          <w:szCs w:val="17"/>
          <w:color w:val="auto"/>
          <w:vertAlign w:val="superscript"/>
        </w:rPr>
      </w:pPr>
      <w:r>
        <w:rPr>
          <w:rFonts w:ascii="Times New Roman" w:cs="Times New Roman" w:eastAsia="Times New Roman" w:hAnsi="Times New Roman"/>
          <w:sz w:val="13"/>
          <w:szCs w:val="13"/>
          <w:color w:val="auto"/>
        </w:rPr>
        <w:t>Artisan assessed whether the deferred tax assets would be realizable and determined based on its history of taxable income that the benefits would more likely than not be realized. Accordingly, no valuation allowance is required.</w:t>
      </w:r>
    </w:p>
    <w:p>
      <w:pPr>
        <w:spacing w:after="0" w:line="240" w:lineRule="exact"/>
        <w:rPr>
          <w:sz w:val="20"/>
          <w:szCs w:val="20"/>
          <w:color w:val="auto"/>
        </w:rPr>
      </w:pPr>
    </w:p>
    <w:p>
      <w:pPr>
        <w:ind w:right="200"/>
        <w:spacing w:after="0" w:line="280" w:lineRule="auto"/>
        <w:rPr>
          <w:sz w:val="20"/>
          <w:szCs w:val="20"/>
          <w:color w:val="auto"/>
        </w:rPr>
      </w:pPr>
      <w:r>
        <w:rPr>
          <w:rFonts w:ascii="Times New Roman" w:cs="Times New Roman" w:eastAsia="Times New Roman" w:hAnsi="Times New Roman"/>
          <w:sz w:val="16"/>
          <w:szCs w:val="16"/>
          <w:color w:val="auto"/>
        </w:rPr>
        <w:t>Accounting standards establish a minimum threshold for recognizing, and a process for measuring, the benefits of income tax return positions in financial statements. The Company’s gross liability for unrecognized tax benefits was $1.8 million as of March 31, 2026 and December 31, 2025.</w:t>
      </w:r>
    </w:p>
    <w:p>
      <w:pPr>
        <w:spacing w:after="0" w:line="57" w:lineRule="exact"/>
        <w:rPr>
          <w:sz w:val="20"/>
          <w:szCs w:val="20"/>
          <w:color w:val="auto"/>
        </w:rPr>
      </w:pPr>
    </w:p>
    <w:p>
      <w:pPr>
        <w:spacing w:after="0" w:line="272" w:lineRule="auto"/>
        <w:rPr>
          <w:sz w:val="20"/>
          <w:szCs w:val="20"/>
          <w:color w:val="auto"/>
        </w:rPr>
      </w:pPr>
      <w:r>
        <w:rPr>
          <w:rFonts w:ascii="Times New Roman" w:cs="Times New Roman" w:eastAsia="Times New Roman" w:hAnsi="Times New Roman"/>
          <w:sz w:val="16"/>
          <w:szCs w:val="16"/>
          <w:color w:val="auto"/>
        </w:rPr>
        <w:t>The Company recognizes interest and penalties related to unrecognized tax benefits as a component of the income tax provision. Accrued interest on unrecognized tax benefits was $0.3 million as of March 31, 2026 and December 31, 2025, and is excluded from gross unrecognized tax benefit. The gross unrecognized tax benefit is recorded within accounts payable, accrued expenses and other in the Company’s unaudited condensed consolidated statements of financial condition.</w:t>
      </w:r>
    </w:p>
    <w:p>
      <w:pPr>
        <w:spacing w:after="0" w:line="76" w:lineRule="exact"/>
        <w:rPr>
          <w:sz w:val="20"/>
          <w:szCs w:val="20"/>
          <w:color w:val="auto"/>
        </w:rPr>
      </w:pPr>
    </w:p>
    <w:p>
      <w:pPr>
        <w:ind w:right="140"/>
        <w:spacing w:after="0" w:line="263" w:lineRule="auto"/>
        <w:rPr>
          <w:sz w:val="20"/>
          <w:szCs w:val="20"/>
          <w:color w:val="auto"/>
        </w:rPr>
      </w:pPr>
      <w:r>
        <w:rPr>
          <w:rFonts w:ascii="Times New Roman" w:cs="Times New Roman" w:eastAsia="Times New Roman" w:hAnsi="Times New Roman"/>
          <w:sz w:val="16"/>
          <w:szCs w:val="16"/>
          <w:color w:val="auto"/>
        </w:rPr>
        <w:t>In the normal course of business, Artisan is subject to examination by federal and certain state, local and foreign tax regulators. As of March 31, 2026, U.S. federal income tax returns filed for the years 2022 through 2024 are open and therefore subject to examination. State, local and foreign income tax returns filed are generally subject to examination from 2021 to 2024.</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Note 13. Earnings Per Share</w:t>
      </w:r>
    </w:p>
    <w:p>
      <w:pPr>
        <w:spacing w:after="0" w:line="115" w:lineRule="exact"/>
        <w:rPr>
          <w:sz w:val="20"/>
          <w:szCs w:val="20"/>
          <w:color w:val="auto"/>
        </w:rPr>
      </w:pPr>
    </w:p>
    <w:p>
      <w:pPr>
        <w:ind w:right="20"/>
        <w:spacing w:after="0" w:line="260" w:lineRule="auto"/>
        <w:rPr>
          <w:sz w:val="20"/>
          <w:szCs w:val="20"/>
          <w:color w:val="auto"/>
        </w:rPr>
      </w:pPr>
      <w:r>
        <w:rPr>
          <w:rFonts w:ascii="Times New Roman" w:cs="Times New Roman" w:eastAsia="Times New Roman" w:hAnsi="Times New Roman"/>
          <w:sz w:val="16"/>
          <w:szCs w:val="16"/>
          <w:color w:val="auto"/>
        </w:rPr>
        <w:t>Basic earnings per share is computed under the two-class method by dividing income available to Class A common stockholders by the weighted average number of Class A common shares outstanding during the period. Unvested restricted share-based awards are excluded from the number of Class A common shares outstanding for the basic earnings per share calculation because the shares have not yet been earned by employees. Income available to Class A common stockholders is computed by reducing net income attributable to APAM by earnings (both distributed and undistributed) allocated to participating securities, according to their respective rights to participate in those earnings. Except for certain performance share units, unvested share-based awards are participating securities because the awards include non-forfeitable dividend rights during the vesting period. Class B and Class C common shares do not share in profits of APAM and therefore are not reflected in the calculations.</w:t>
      </w:r>
    </w:p>
    <w:p>
      <w:pPr>
        <w:spacing w:after="0" w:line="87" w:lineRule="exact"/>
        <w:rPr>
          <w:sz w:val="20"/>
          <w:szCs w:val="20"/>
          <w:color w:val="auto"/>
        </w:rPr>
      </w:pPr>
    </w:p>
    <w:p>
      <w:pPr>
        <w:ind w:right="60"/>
        <w:spacing w:after="0" w:line="263" w:lineRule="auto"/>
        <w:rPr>
          <w:sz w:val="20"/>
          <w:szCs w:val="20"/>
          <w:color w:val="auto"/>
        </w:rPr>
      </w:pPr>
      <w:r>
        <w:rPr>
          <w:rFonts w:ascii="Times New Roman" w:cs="Times New Roman" w:eastAsia="Times New Roman" w:hAnsi="Times New Roman"/>
          <w:sz w:val="16"/>
          <w:szCs w:val="16"/>
          <w:color w:val="auto"/>
        </w:rPr>
        <w:t>Diluted earnings per share is computed under the more dilutive of the treasury stock method or the two-class method. The weighted average number of Class A common shares outstanding during the period is increased by the assumed conversion of nonparticipating unvested share-based awards into Class A common stock using the treasury stock method.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computation of basic and diluted earnings per share for the three months ended March 31, 2026 and 2025 were as follows:</w:t>
      </w:r>
    </w:p>
    <w:p>
      <w:pPr>
        <w:spacing w:after="0" w:line="44"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78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3220" w:type="dxa"/>
            <w:vAlign w:val="bottom"/>
            <w:tcBorders>
              <w:bottom w:val="single" w:sz="8" w:color="auto"/>
            </w:tcBorders>
            <w:gridSpan w:val="4"/>
          </w:tcPr>
          <w:p>
            <w:pPr>
              <w:jc w:val="right"/>
              <w:ind w:right="259"/>
              <w:spacing w:after="0"/>
              <w:rPr>
                <w:sz w:val="20"/>
                <w:szCs w:val="20"/>
                <w:color w:val="auto"/>
              </w:rPr>
            </w:pPr>
            <w:r>
              <w:rPr>
                <w:rFonts w:ascii="Times New Roman" w:cs="Times New Roman" w:eastAsia="Times New Roman" w:hAnsi="Times New Roman"/>
                <w:sz w:val="16"/>
                <w:szCs w:val="16"/>
                <w:b w:val="1"/>
                <w:bCs w:val="1"/>
                <w:color w:val="auto"/>
              </w:rPr>
              <w:t>For the Three Months Ended March 31,</w:t>
            </w:r>
          </w:p>
        </w:tc>
      </w:tr>
      <w:tr>
        <w:trPr>
          <w:trHeight w:val="214"/>
        </w:trPr>
        <w:tc>
          <w:tcPr>
            <w:tcW w:w="78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Basic and Diluted Earnings Per Share</w:t>
            </w:r>
          </w:p>
        </w:tc>
        <w:tc>
          <w:tcPr>
            <w:tcW w:w="22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ind w:right="599"/>
              <w:spacing w:after="0"/>
              <w:rPr>
                <w:sz w:val="20"/>
                <w:szCs w:val="20"/>
                <w:color w:val="auto"/>
              </w:rPr>
            </w:pPr>
            <w:r>
              <w:rPr>
                <w:rFonts w:ascii="Times New Roman" w:cs="Times New Roman" w:eastAsia="Times New Roman" w:hAnsi="Times New Roman"/>
                <w:sz w:val="16"/>
                <w:szCs w:val="16"/>
                <w:b w:val="1"/>
                <w:bCs w:val="1"/>
                <w:color w:val="auto"/>
              </w:rPr>
              <w:t>2026</w:t>
            </w:r>
          </w:p>
        </w:tc>
        <w:tc>
          <w:tcPr>
            <w:tcW w:w="12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579"/>
              <w:spacing w:after="0"/>
              <w:rPr>
                <w:sz w:val="20"/>
                <w:szCs w:val="20"/>
                <w:color w:val="auto"/>
              </w:rPr>
            </w:pPr>
            <w:r>
              <w:rPr>
                <w:rFonts w:ascii="Times New Roman" w:cs="Times New Roman" w:eastAsia="Times New Roman" w:hAnsi="Times New Roman"/>
                <w:sz w:val="16"/>
                <w:szCs w:val="16"/>
                <w:b w:val="1"/>
                <w:bCs w:val="1"/>
                <w:color w:val="auto"/>
              </w:rPr>
              <w:t>2025</w:t>
            </w:r>
          </w:p>
        </w:tc>
      </w:tr>
      <w:tr>
        <w:trPr>
          <w:trHeight w:val="198"/>
        </w:trPr>
        <w:tc>
          <w:tcPr>
            <w:tcW w:w="7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i w:val="1"/>
                <w:iCs w:val="1"/>
                <w:color w:val="auto"/>
              </w:rPr>
              <w:t>Numerator:</w:t>
            </w:r>
          </w:p>
        </w:tc>
        <w:tc>
          <w:tcPr>
            <w:tcW w:w="220" w:type="dxa"/>
            <w:vAlign w:val="bottom"/>
            <w:shd w:val="clear" w:color="auto" w:fill="CCEEFF"/>
          </w:tcPr>
          <w:p>
            <w:pPr>
              <w:spacing w:after="0"/>
              <w:rPr>
                <w:sz w:val="17"/>
                <w:szCs w:val="17"/>
                <w:color w:val="auto"/>
              </w:rPr>
            </w:pPr>
          </w:p>
        </w:tc>
        <w:tc>
          <w:tcPr>
            <w:tcW w:w="14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r>
      <w:tr>
        <w:trPr>
          <w:trHeight w:val="213"/>
        </w:trPr>
        <w:tc>
          <w:tcPr>
            <w:tcW w:w="78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Net income attributable to APAM</w:t>
            </w:r>
          </w:p>
        </w:tc>
        <w:tc>
          <w:tcPr>
            <w:tcW w:w="2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58,041</w:t>
            </w:r>
          </w:p>
        </w:tc>
        <w:tc>
          <w:tcPr>
            <w:tcW w:w="12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61,139</w:t>
            </w:r>
          </w:p>
        </w:tc>
      </w:tr>
      <w:tr>
        <w:trPr>
          <w:trHeight w:val="210"/>
        </w:trPr>
        <w:tc>
          <w:tcPr>
            <w:tcW w:w="78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Less: Allocation to participating securities</w:t>
            </w:r>
          </w:p>
        </w:tc>
        <w:tc>
          <w:tcPr>
            <w:tcW w:w="220" w:type="dxa"/>
            <w:vAlign w:val="bottom"/>
            <w:tcBorders>
              <w:bottom w:val="single" w:sz="8" w:color="auto"/>
            </w:tcBorders>
            <w:shd w:val="clear" w:color="auto" w:fill="CCEEFF"/>
          </w:tcPr>
          <w:p>
            <w:pPr>
              <w:spacing w:after="0"/>
              <w:rPr>
                <w:sz w:val="18"/>
                <w:szCs w:val="18"/>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7,909</w:t>
            </w:r>
          </w:p>
        </w:tc>
        <w:tc>
          <w:tcPr>
            <w:tcW w:w="12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7,297</w:t>
            </w:r>
          </w:p>
        </w:tc>
      </w:tr>
      <w:tr>
        <w:trPr>
          <w:trHeight w:val="212"/>
        </w:trPr>
        <w:tc>
          <w:tcPr>
            <w:tcW w:w="78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income available to common stockholders</w:t>
            </w:r>
          </w:p>
        </w:tc>
        <w:tc>
          <w:tcPr>
            <w:tcW w:w="2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50,132</w:t>
            </w:r>
          </w:p>
        </w:tc>
        <w:tc>
          <w:tcPr>
            <w:tcW w:w="120" w:type="dxa"/>
            <w:vAlign w:val="bottom"/>
          </w:tcPr>
          <w:p>
            <w:pPr>
              <w:spacing w:after="0"/>
              <w:rPr>
                <w:sz w:val="18"/>
                <w:szCs w:val="18"/>
                <w:color w:val="auto"/>
              </w:rPr>
            </w:pPr>
          </w:p>
        </w:tc>
        <w:tc>
          <w:tcPr>
            <w:tcW w:w="380" w:type="dxa"/>
            <w:vAlign w:val="bottom"/>
            <w:tcBorders>
              <w:bottom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53,842</w:t>
            </w:r>
          </w:p>
        </w:tc>
      </w:tr>
      <w:tr>
        <w:trPr>
          <w:trHeight w:val="20"/>
        </w:trPr>
        <w:tc>
          <w:tcPr>
            <w:tcW w:w="78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r>
        <w:trPr>
          <w:trHeight w:val="183"/>
        </w:trPr>
        <w:tc>
          <w:tcPr>
            <w:tcW w:w="7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i w:val="1"/>
                <w:iCs w:val="1"/>
                <w:color w:val="auto"/>
              </w:rPr>
              <w:t>Denominator:</w:t>
            </w:r>
          </w:p>
        </w:tc>
        <w:tc>
          <w:tcPr>
            <w:tcW w:w="220" w:type="dxa"/>
            <w:vAlign w:val="bottom"/>
            <w:shd w:val="clear" w:color="auto" w:fill="CCEEFF"/>
          </w:tcPr>
          <w:p>
            <w:pPr>
              <w:spacing w:after="0"/>
              <w:rPr>
                <w:sz w:val="15"/>
                <w:szCs w:val="15"/>
                <w:color w:val="auto"/>
              </w:rPr>
            </w:pPr>
          </w:p>
        </w:tc>
        <w:tc>
          <w:tcPr>
            <w:tcW w:w="14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r>
      <w:tr>
        <w:trPr>
          <w:trHeight w:val="213"/>
        </w:trPr>
        <w:tc>
          <w:tcPr>
            <w:tcW w:w="78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Basic weighted average shares outstanding</w:t>
            </w:r>
          </w:p>
        </w:tc>
        <w:tc>
          <w:tcPr>
            <w:tcW w:w="22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66,125,995</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65,373,285</w:t>
            </w:r>
          </w:p>
        </w:tc>
      </w:tr>
      <w:tr>
        <w:trPr>
          <w:trHeight w:val="216"/>
        </w:trPr>
        <w:tc>
          <w:tcPr>
            <w:tcW w:w="7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Dilutive effect of nonparticipating share-based awards</w:t>
            </w:r>
          </w:p>
        </w:tc>
        <w:tc>
          <w:tcPr>
            <w:tcW w:w="22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2"/>
        </w:trPr>
        <w:tc>
          <w:tcPr>
            <w:tcW w:w="78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Diluted weighted average shares outstanding</w:t>
            </w:r>
          </w:p>
        </w:tc>
        <w:tc>
          <w:tcPr>
            <w:tcW w:w="220" w:type="dxa"/>
            <w:vAlign w:val="bottom"/>
            <w:tcBorders>
              <w:top w:val="single" w:sz="8" w:color="auto"/>
              <w:bottom w:val="single" w:sz="8" w:color="auto"/>
            </w:tcBorders>
          </w:tcPr>
          <w:p>
            <w:pPr>
              <w:spacing w:after="0"/>
              <w:rPr>
                <w:sz w:val="18"/>
                <w:szCs w:val="18"/>
                <w:color w:val="auto"/>
              </w:rPr>
            </w:pPr>
          </w:p>
        </w:tc>
        <w:tc>
          <w:tcPr>
            <w:tcW w:w="1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66,125,995</w:t>
            </w:r>
          </w:p>
        </w:tc>
        <w:tc>
          <w:tcPr>
            <w:tcW w:w="120" w:type="dxa"/>
            <w:vAlign w:val="bottom"/>
          </w:tcPr>
          <w:p>
            <w:pPr>
              <w:spacing w:after="0"/>
              <w:rPr>
                <w:sz w:val="18"/>
                <w:szCs w:val="18"/>
                <w:color w:val="auto"/>
              </w:rPr>
            </w:pPr>
          </w:p>
        </w:tc>
        <w:tc>
          <w:tcPr>
            <w:tcW w:w="380" w:type="dxa"/>
            <w:vAlign w:val="bottom"/>
            <w:tcBorders>
              <w:top w:val="single" w:sz="8" w:color="auto"/>
              <w:bottom w:val="single" w:sz="8" w:color="auto"/>
            </w:tcBorders>
          </w:tcPr>
          <w:p>
            <w:pPr>
              <w:spacing w:after="0"/>
              <w:rPr>
                <w:sz w:val="18"/>
                <w:szCs w:val="18"/>
                <w:color w:val="auto"/>
              </w:rPr>
            </w:pP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65,373,285</w:t>
            </w:r>
          </w:p>
        </w:tc>
      </w:tr>
      <w:tr>
        <w:trPr>
          <w:trHeight w:val="20"/>
        </w:trPr>
        <w:tc>
          <w:tcPr>
            <w:tcW w:w="78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r>
        <w:trPr>
          <w:trHeight w:val="210"/>
        </w:trPr>
        <w:tc>
          <w:tcPr>
            <w:tcW w:w="7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Earnings per share - Basic</w:t>
            </w:r>
          </w:p>
        </w:tc>
        <w:tc>
          <w:tcPr>
            <w:tcW w:w="2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0.76</w:t>
            </w: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0.82</w:t>
            </w:r>
          </w:p>
        </w:tc>
      </w:tr>
      <w:tr>
        <w:trPr>
          <w:trHeight w:val="212"/>
        </w:trPr>
        <w:tc>
          <w:tcPr>
            <w:tcW w:w="780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Earnings per share - Diluted</w:t>
            </w:r>
          </w:p>
        </w:tc>
        <w:tc>
          <w:tcPr>
            <w:tcW w:w="220" w:type="dxa"/>
            <w:vAlign w:val="bottom"/>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0.76</w:t>
            </w:r>
          </w:p>
        </w:tc>
        <w:tc>
          <w:tcPr>
            <w:tcW w:w="120" w:type="dxa"/>
            <w:vAlign w:val="bottom"/>
          </w:tcPr>
          <w:p>
            <w:pPr>
              <w:spacing w:after="0"/>
              <w:rPr>
                <w:sz w:val="18"/>
                <w:szCs w:val="18"/>
                <w:color w:val="auto"/>
              </w:rPr>
            </w:pPr>
          </w:p>
        </w:tc>
        <w:tc>
          <w:tcPr>
            <w:tcW w:w="380" w:type="dxa"/>
            <w:vAlign w:val="bottom"/>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0.82</w:t>
            </w:r>
          </w:p>
        </w:tc>
      </w:tr>
    </w:tbl>
    <w:p>
      <w:pPr>
        <w:spacing w:after="0" w:line="192" w:lineRule="exact"/>
        <w:rPr>
          <w:sz w:val="20"/>
          <w:szCs w:val="20"/>
          <w:color w:val="auto"/>
        </w:rPr>
      </w:pPr>
    </w:p>
    <w:p>
      <w:pPr>
        <w:ind w:right="160"/>
        <w:spacing w:after="0" w:line="280" w:lineRule="auto"/>
        <w:rPr>
          <w:sz w:val="20"/>
          <w:szCs w:val="20"/>
          <w:color w:val="auto"/>
        </w:rPr>
      </w:pPr>
      <w:r>
        <w:rPr>
          <w:rFonts w:ascii="Times New Roman" w:cs="Times New Roman" w:eastAsia="Times New Roman" w:hAnsi="Times New Roman"/>
          <w:sz w:val="16"/>
          <w:szCs w:val="16"/>
          <w:color w:val="auto"/>
        </w:rPr>
        <w:t>Allocation to participating securities in the table above primarily represents dividends paid to holders of unvested restricted share-based awards, which reduces net income available to common stockholders.</w:t>
      </w:r>
    </w:p>
    <w:p>
      <w:pPr>
        <w:spacing w:after="0" w:line="70" w:lineRule="exact"/>
        <w:rPr>
          <w:sz w:val="20"/>
          <w:szCs w:val="20"/>
          <w:color w:val="auto"/>
        </w:rPr>
      </w:pPr>
    </w:p>
    <w:p>
      <w:pPr>
        <w:ind w:right="320"/>
        <w:spacing w:after="0" w:line="272" w:lineRule="auto"/>
        <w:rPr>
          <w:sz w:val="20"/>
          <w:szCs w:val="20"/>
          <w:color w:val="auto"/>
        </w:rPr>
      </w:pPr>
      <w:r>
        <w:rPr>
          <w:rFonts w:ascii="Times New Roman" w:cs="Times New Roman" w:eastAsia="Times New Roman" w:hAnsi="Times New Roman"/>
          <w:sz w:val="16"/>
          <w:szCs w:val="16"/>
          <w:color w:val="auto"/>
        </w:rPr>
        <w:t>The Holdings limited partnership units are anti-dilutive primarily due to the impact of public company expenses. Unvested restricted share-based awards with non-forfeitable dividend rights during the vesting period are considered participating securities and are therefore anti-dilutive. The following table summarizes the weighted-average shares outstanding that are excluded from the calculation of diluted earnings per share because their effect would have been anti-dilutive:</w:t>
      </w:r>
    </w:p>
    <w:p>
      <w:pPr>
        <w:spacing w:after="0" w:line="101"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7800" w:type="dxa"/>
            <w:vAlign w:val="bottom"/>
          </w:tcPr>
          <w:p>
            <w:pPr>
              <w:spacing w:after="0"/>
              <w:rPr>
                <w:sz w:val="18"/>
                <w:szCs w:val="18"/>
                <w:color w:val="auto"/>
              </w:rPr>
            </w:pPr>
          </w:p>
        </w:tc>
        <w:tc>
          <w:tcPr>
            <w:tcW w:w="3440" w:type="dxa"/>
            <w:vAlign w:val="bottom"/>
            <w:tcBorders>
              <w:bottom w:val="single" w:sz="8" w:color="auto"/>
            </w:tcBorders>
            <w:gridSpan w:val="3"/>
          </w:tcPr>
          <w:p>
            <w:pPr>
              <w:jc w:val="right"/>
              <w:ind w:right="259"/>
              <w:spacing w:after="0"/>
              <w:rPr>
                <w:sz w:val="20"/>
                <w:szCs w:val="20"/>
                <w:color w:val="auto"/>
              </w:rPr>
            </w:pPr>
            <w:r>
              <w:rPr>
                <w:rFonts w:ascii="Times New Roman" w:cs="Times New Roman" w:eastAsia="Times New Roman" w:hAnsi="Times New Roman"/>
                <w:sz w:val="16"/>
                <w:szCs w:val="16"/>
                <w:b w:val="1"/>
                <w:bCs w:val="1"/>
                <w:color w:val="auto"/>
              </w:rPr>
              <w:t>For the Three Months Ended March 31,</w:t>
            </w:r>
          </w:p>
        </w:tc>
      </w:tr>
      <w:tr>
        <w:trPr>
          <w:trHeight w:val="214"/>
        </w:trPr>
        <w:tc>
          <w:tcPr>
            <w:tcW w:w="78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Anti-Dilutive Weighted Average Shares Outstanding</w:t>
            </w:r>
          </w:p>
        </w:tc>
        <w:tc>
          <w:tcPr>
            <w:tcW w:w="1660" w:type="dxa"/>
            <w:vAlign w:val="bottom"/>
            <w:tcBorders>
              <w:bottom w:val="single" w:sz="8" w:color="auto"/>
            </w:tcBorders>
          </w:tcPr>
          <w:p>
            <w:pPr>
              <w:jc w:val="right"/>
              <w:ind w:right="599"/>
              <w:spacing w:after="0"/>
              <w:rPr>
                <w:sz w:val="20"/>
                <w:szCs w:val="20"/>
                <w:color w:val="auto"/>
              </w:rPr>
            </w:pPr>
            <w:r>
              <w:rPr>
                <w:rFonts w:ascii="Times New Roman" w:cs="Times New Roman" w:eastAsia="Times New Roman" w:hAnsi="Times New Roman"/>
                <w:sz w:val="16"/>
                <w:szCs w:val="16"/>
                <w:b w:val="1"/>
                <w:bCs w:val="1"/>
                <w:color w:val="auto"/>
              </w:rPr>
              <w:t>2026</w:t>
            </w:r>
          </w:p>
        </w:tc>
        <w:tc>
          <w:tcPr>
            <w:tcW w:w="120" w:type="dxa"/>
            <w:vAlign w:val="bottom"/>
            <w:tcBorders>
              <w:bottom w:val="single" w:sz="8" w:color="CCEEFF"/>
            </w:tcBorders>
          </w:tcPr>
          <w:p>
            <w:pPr>
              <w:spacing w:after="0"/>
              <w:rPr>
                <w:sz w:val="18"/>
                <w:szCs w:val="18"/>
                <w:color w:val="auto"/>
              </w:rPr>
            </w:pPr>
          </w:p>
        </w:tc>
        <w:tc>
          <w:tcPr>
            <w:tcW w:w="1660" w:type="dxa"/>
            <w:vAlign w:val="bottom"/>
            <w:tcBorders>
              <w:bottom w:val="single" w:sz="8" w:color="auto"/>
            </w:tcBorders>
          </w:tcPr>
          <w:p>
            <w:pPr>
              <w:jc w:val="right"/>
              <w:ind w:right="579"/>
              <w:spacing w:after="0"/>
              <w:rPr>
                <w:sz w:val="20"/>
                <w:szCs w:val="20"/>
                <w:color w:val="auto"/>
              </w:rPr>
            </w:pPr>
            <w:r>
              <w:rPr>
                <w:rFonts w:ascii="Times New Roman" w:cs="Times New Roman" w:eastAsia="Times New Roman" w:hAnsi="Times New Roman"/>
                <w:sz w:val="16"/>
                <w:szCs w:val="16"/>
                <w:b w:val="1"/>
                <w:bCs w:val="1"/>
                <w:color w:val="auto"/>
              </w:rPr>
              <w:t>2025</w:t>
            </w:r>
          </w:p>
        </w:tc>
      </w:tr>
      <w:tr>
        <w:trPr>
          <w:trHeight w:val="211"/>
        </w:trPr>
        <w:tc>
          <w:tcPr>
            <w:tcW w:w="7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Holdings limited partnership units</w:t>
            </w: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10,133,057</w:t>
            </w:r>
          </w:p>
        </w:tc>
        <w:tc>
          <w:tcPr>
            <w:tcW w:w="120" w:type="dxa"/>
            <w:vAlign w:val="bottom"/>
            <w:shd w:val="clear" w:color="auto" w:fill="CCEEFF"/>
          </w:tcPr>
          <w:p>
            <w:pPr>
              <w:spacing w:after="0"/>
              <w:rPr>
                <w:sz w:val="18"/>
                <w:szCs w:val="18"/>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10,274,591</w:t>
            </w:r>
          </w:p>
        </w:tc>
      </w:tr>
      <w:tr>
        <w:trPr>
          <w:trHeight w:val="213"/>
        </w:trPr>
        <w:tc>
          <w:tcPr>
            <w:tcW w:w="78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Unvested restricted share-based awards</w:t>
            </w: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5,088,631</w:t>
            </w:r>
          </w:p>
        </w:tc>
        <w:tc>
          <w:tcPr>
            <w:tcW w:w="120" w:type="dxa"/>
            <w:vAlign w:val="bottom"/>
            <w:tcBorders>
              <w:bottom w:val="single" w:sz="8" w:color="CCEEFF"/>
            </w:tcBorders>
          </w:tcPr>
          <w:p>
            <w:pPr>
              <w:spacing w:after="0"/>
              <w:rPr>
                <w:sz w:val="18"/>
                <w:szCs w:val="18"/>
                <w:color w:val="auto"/>
              </w:rPr>
            </w:pP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5,392,148</w:t>
            </w:r>
          </w:p>
        </w:tc>
      </w:tr>
      <w:tr>
        <w:trPr>
          <w:trHeight w:val="237"/>
        </w:trPr>
        <w:tc>
          <w:tcPr>
            <w:tcW w:w="78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15,221,688</w:t>
            </w:r>
          </w:p>
        </w:tc>
        <w:tc>
          <w:tcPr>
            <w:tcW w:w="120" w:type="dxa"/>
            <w:vAlign w:val="bottom"/>
            <w:tcBorders>
              <w:bottom w:val="single" w:sz="8" w:color="CCEEFF"/>
            </w:tcBorders>
            <w:shd w:val="clear" w:color="auto" w:fill="CCEEFF"/>
          </w:tcPr>
          <w:p>
            <w:pPr>
              <w:spacing w:after="0"/>
              <w:rPr>
                <w:sz w:val="20"/>
                <w:szCs w:val="20"/>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15,666,739</w:t>
            </w:r>
          </w:p>
        </w:tc>
      </w:tr>
      <w:tr>
        <w:trPr>
          <w:trHeight w:val="20"/>
        </w:trPr>
        <w:tc>
          <w:tcPr>
            <w:tcW w:w="7800" w:type="dxa"/>
            <w:vAlign w:val="bottom"/>
            <w:tcBorders>
              <w:top w:val="single" w:sz="8" w:color="CCEEFF"/>
            </w:tcBorders>
          </w:tcPr>
          <w:p>
            <w:pPr>
              <w:spacing w:after="0" w:line="20" w:lineRule="exact"/>
              <w:rPr>
                <w:sz w:val="1"/>
                <w:szCs w:val="1"/>
                <w:color w:val="auto"/>
              </w:rPr>
            </w:pPr>
          </w:p>
        </w:tc>
        <w:tc>
          <w:tcPr>
            <w:tcW w:w="16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60" w:type="dxa"/>
            <w:vAlign w:val="bottom"/>
            <w:tcBorders>
              <w:top w:val="single" w:sz="8" w:color="CCEEFF"/>
              <w:bottom w:val="single" w:sz="8" w:color="auto"/>
            </w:tcBorders>
          </w:tcPr>
          <w:p>
            <w:pPr>
              <w:spacing w:after="0" w:line="20" w:lineRule="exact"/>
              <w:rPr>
                <w:sz w:val="1"/>
                <w:szCs w:val="1"/>
                <w:color w:val="auto"/>
              </w:rPr>
            </w:pPr>
          </w:p>
        </w:tc>
      </w:tr>
    </w:tbl>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Note 14. Indemnifications</w:t>
      </w:r>
    </w:p>
    <w:p>
      <w:pPr>
        <w:spacing w:after="0" w:line="115"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16"/>
          <w:szCs w:val="16"/>
          <w:color w:val="auto"/>
        </w:rPr>
        <w:t>In the normal course of business, APAM enters into agreements that include indemnities in favor of third parties. Holdings has also agreed to indemnify APAM as its general partner, Artisan Investment Corporation (“AIC”) as its former general partner, the directors and officers of APAM, the directors and officers of AIC as its former general partner, the members of its former Advisory Committee, and its partners, directors, officers, employees and agents. Holdings’ subsidiaries may also have similar agreements to indemnify their respective general partner(s), directors, officers, directors and officers of their general partner(s), partners, members, employees and agents. The Company’s maximum exposure under these arrangements is unknown, as this would involve future claims that may be made against the Company that have not yet occurred. APAM maintains insurance policies that may provide coverage against certain claims under these indemnities.</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Note 15. Related Party Transactions</w:t>
      </w:r>
    </w:p>
    <w:p>
      <w:pPr>
        <w:spacing w:after="0" w:line="129" w:lineRule="exact"/>
        <w:rPr>
          <w:sz w:val="20"/>
          <w:szCs w:val="20"/>
          <w:color w:val="auto"/>
        </w:rPr>
      </w:pPr>
    </w:p>
    <w:p>
      <w:pPr>
        <w:ind w:right="620"/>
        <w:spacing w:after="0" w:line="280" w:lineRule="auto"/>
        <w:rPr>
          <w:sz w:val="20"/>
          <w:szCs w:val="20"/>
          <w:color w:val="auto"/>
        </w:rPr>
      </w:pPr>
      <w:r>
        <w:rPr>
          <w:rFonts w:ascii="Times New Roman" w:cs="Times New Roman" w:eastAsia="Times New Roman" w:hAnsi="Times New Roman"/>
          <w:sz w:val="16"/>
          <w:szCs w:val="16"/>
          <w:color w:val="auto"/>
        </w:rPr>
        <w:t>Several of the current executive officers and directors of APAM or entities associated with those individuals, are limited partners of Holdings. As a result, certain transactions (such as TRA payments) between Artisan and limited partners of Holdings are considered to be related party transactions with respect to these persons.</w:t>
      </w:r>
    </w:p>
    <w:p>
      <w:pPr>
        <w:spacing w:after="0" w:line="70" w:lineRule="exact"/>
        <w:rPr>
          <w:sz w:val="20"/>
          <w:szCs w:val="20"/>
          <w:color w:val="auto"/>
        </w:rPr>
      </w:pPr>
    </w:p>
    <w:p>
      <w:pPr>
        <w:ind w:right="460"/>
        <w:spacing w:after="0" w:line="263" w:lineRule="auto"/>
        <w:rPr>
          <w:sz w:val="20"/>
          <w:szCs w:val="20"/>
          <w:color w:val="auto"/>
        </w:rPr>
      </w:pPr>
      <w:r>
        <w:rPr>
          <w:rFonts w:ascii="Times New Roman" w:cs="Times New Roman" w:eastAsia="Times New Roman" w:hAnsi="Times New Roman"/>
          <w:sz w:val="16"/>
          <w:szCs w:val="16"/>
          <w:color w:val="auto"/>
        </w:rPr>
        <w:t>Holdings also makes estimated state tax payments on behalf of certain limited partners, including related parties. These payments are then netted from subsequent distributions or other payments to the limited partners. At March 31, 2026 and December 31, 2025, accounts receivable included, $2.1 million and nil, respectively, of partnership tax reimbursements due from Holdings’ limited partners, including related parties.</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Affiliate transactions—Artisan Funds</w:t>
      </w:r>
    </w:p>
    <w:p>
      <w:pPr>
        <w:spacing w:after="0" w:line="115" w:lineRule="exact"/>
        <w:rPr>
          <w:sz w:val="20"/>
          <w:szCs w:val="20"/>
          <w:color w:val="auto"/>
        </w:rPr>
      </w:pPr>
    </w:p>
    <w:p>
      <w:pPr>
        <w:spacing w:after="0" w:line="272" w:lineRule="auto"/>
        <w:rPr>
          <w:sz w:val="20"/>
          <w:szCs w:val="20"/>
          <w:color w:val="auto"/>
        </w:rPr>
      </w:pPr>
      <w:r>
        <w:rPr>
          <w:rFonts w:ascii="Times New Roman" w:cs="Times New Roman" w:eastAsia="Times New Roman" w:hAnsi="Times New Roman"/>
          <w:sz w:val="16"/>
          <w:szCs w:val="16"/>
          <w:color w:val="auto"/>
        </w:rPr>
        <w:t>Artisan has an agreement to serve as the investment adviser to Artisan Funds, with which certain Artisan employees are affiliated. Under the terms of the agreement, which generally is reviewed and continued by the board of directors of Artisan Funds annually, a fee is paid to Artisan based on an annual percentage of the average daily net assets of each Artisan Fund ranging from 0.60% to 1.05%. Artisan has contractually agreed to reimburse for expenses incurred to the extent necessary to limit annualized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right="20"/>
        <w:spacing w:after="0" w:line="263" w:lineRule="auto"/>
        <w:rPr>
          <w:sz w:val="20"/>
          <w:szCs w:val="20"/>
          <w:color w:val="auto"/>
        </w:rPr>
      </w:pPr>
      <w:r>
        <w:rPr>
          <w:rFonts w:ascii="Times New Roman" w:cs="Times New Roman" w:eastAsia="Times New Roman" w:hAnsi="Times New Roman"/>
          <w:sz w:val="16"/>
          <w:szCs w:val="16"/>
          <w:color w:val="auto"/>
        </w:rPr>
        <w:t>ordinary operating expenses incurred by certain of the Artisan Funds to not more than a fixed percentage (ranging from 0.83% to 1.50%) of a fund’s average daily net assets. In addition, Artisan may voluntarily waive fees or reimburse any of the Artisan Funds for other expenses. Expense waivers and reimbursements are reflected as a reduction of management fees within the Consolidated Statements of Operations. The officers and directors of Artisan Funds who are affiliated with Artisan receive no compensation from the funds.</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Investment advisory fees for managing Artisan Funds and amounts reimbursed by Artisan for fees and expenses (including management fees) are as follows:</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78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3220" w:type="dxa"/>
            <w:vAlign w:val="bottom"/>
            <w:tcBorders>
              <w:bottom w:val="single" w:sz="8" w:color="auto"/>
            </w:tcBorders>
            <w:gridSpan w:val="4"/>
          </w:tcPr>
          <w:p>
            <w:pPr>
              <w:jc w:val="right"/>
              <w:ind w:right="259"/>
              <w:spacing w:after="0"/>
              <w:rPr>
                <w:sz w:val="20"/>
                <w:szCs w:val="20"/>
                <w:color w:val="auto"/>
              </w:rPr>
            </w:pPr>
            <w:r>
              <w:rPr>
                <w:rFonts w:ascii="Times New Roman" w:cs="Times New Roman" w:eastAsia="Times New Roman" w:hAnsi="Times New Roman"/>
                <w:sz w:val="16"/>
                <w:szCs w:val="16"/>
                <w:b w:val="1"/>
                <w:bCs w:val="1"/>
                <w:color w:val="auto"/>
              </w:rPr>
              <w:t>For the Three Months Ended March 31,</w:t>
            </w:r>
          </w:p>
        </w:tc>
      </w:tr>
      <w:tr>
        <w:trPr>
          <w:trHeight w:val="214"/>
        </w:trPr>
        <w:tc>
          <w:tcPr>
            <w:tcW w:w="78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Artisan Funds</w:t>
            </w:r>
          </w:p>
        </w:tc>
        <w:tc>
          <w:tcPr>
            <w:tcW w:w="22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ind w:right="599"/>
              <w:spacing w:after="0"/>
              <w:rPr>
                <w:sz w:val="20"/>
                <w:szCs w:val="20"/>
                <w:color w:val="auto"/>
              </w:rPr>
            </w:pPr>
            <w:r>
              <w:rPr>
                <w:rFonts w:ascii="Times New Roman" w:cs="Times New Roman" w:eastAsia="Times New Roman" w:hAnsi="Times New Roman"/>
                <w:sz w:val="16"/>
                <w:szCs w:val="16"/>
                <w:b w:val="1"/>
                <w:bCs w:val="1"/>
                <w:color w:val="auto"/>
              </w:rPr>
              <w:t>2026</w:t>
            </w:r>
          </w:p>
        </w:tc>
        <w:tc>
          <w:tcPr>
            <w:tcW w:w="12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579"/>
              <w:spacing w:after="0"/>
              <w:rPr>
                <w:sz w:val="20"/>
                <w:szCs w:val="20"/>
                <w:color w:val="auto"/>
              </w:rPr>
            </w:pPr>
            <w:r>
              <w:rPr>
                <w:rFonts w:ascii="Times New Roman" w:cs="Times New Roman" w:eastAsia="Times New Roman" w:hAnsi="Times New Roman"/>
                <w:sz w:val="16"/>
                <w:szCs w:val="16"/>
                <w:b w:val="1"/>
                <w:bCs w:val="1"/>
                <w:color w:val="auto"/>
              </w:rPr>
              <w:t>2025</w:t>
            </w:r>
          </w:p>
        </w:tc>
      </w:tr>
      <w:tr>
        <w:trPr>
          <w:trHeight w:val="211"/>
        </w:trPr>
        <w:tc>
          <w:tcPr>
            <w:tcW w:w="780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6"/>
                <w:szCs w:val="16"/>
                <w:color w:val="auto"/>
              </w:rPr>
              <w:t>Investment advisory fees (Gross of expense reimbursements)</w:t>
            </w:r>
          </w:p>
        </w:tc>
        <w:tc>
          <w:tcPr>
            <w:tcW w:w="2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177,418</w:t>
            </w: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161,493</w:t>
            </w:r>
          </w:p>
        </w:tc>
      </w:tr>
      <w:tr>
        <w:trPr>
          <w:trHeight w:val="210"/>
        </w:trPr>
        <w:tc>
          <w:tcPr>
            <w:tcW w:w="7800" w:type="dxa"/>
            <w:vAlign w:val="bottom"/>
          </w:tcPr>
          <w:p>
            <w:pPr>
              <w:ind w:left="400"/>
              <w:spacing w:after="0"/>
              <w:rPr>
                <w:sz w:val="20"/>
                <w:szCs w:val="20"/>
                <w:color w:val="auto"/>
              </w:rPr>
            </w:pPr>
            <w:r>
              <w:rPr>
                <w:rFonts w:ascii="Times New Roman" w:cs="Times New Roman" w:eastAsia="Times New Roman" w:hAnsi="Times New Roman"/>
                <w:sz w:val="16"/>
                <w:szCs w:val="16"/>
                <w:color w:val="auto"/>
              </w:rPr>
              <w:t>Expense reimbursements</w:t>
            </w:r>
          </w:p>
        </w:tc>
        <w:tc>
          <w:tcPr>
            <w:tcW w:w="22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354</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520</w:t>
            </w:r>
          </w:p>
        </w:tc>
      </w:tr>
    </w:tbl>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Affiliate transactions—Artisan Global Funds</w:t>
      </w:r>
    </w:p>
    <w:p>
      <w:pPr>
        <w:spacing w:after="0" w:line="115" w:lineRule="exact"/>
        <w:rPr>
          <w:sz w:val="20"/>
          <w:szCs w:val="20"/>
          <w:color w:val="auto"/>
        </w:rPr>
      </w:pPr>
    </w:p>
    <w:p>
      <w:pPr>
        <w:ind w:right="380"/>
        <w:spacing w:after="0" w:line="263" w:lineRule="auto"/>
        <w:rPr>
          <w:sz w:val="20"/>
          <w:szCs w:val="20"/>
          <w:color w:val="auto"/>
        </w:rPr>
      </w:pPr>
      <w:r>
        <w:rPr>
          <w:rFonts w:ascii="Times New Roman" w:cs="Times New Roman" w:eastAsia="Times New Roman" w:hAnsi="Times New Roman"/>
          <w:sz w:val="16"/>
          <w:szCs w:val="16"/>
          <w:color w:val="auto"/>
        </w:rPr>
        <w:t>Artisan has an agreement to serve as the investment manager to Artisan Global Funds, with which certain Artisan employees are affiliated. Under the terms of these agreements, a fee is paid based on an annual percentage of the average daily net assets of each fund ranging from 0.35% to 1.85%. Artisan reimburses each sub-fund of Artisan Global Funds to the extent that sub-fund’s annual expenses, not including Artisan’s fee, exceed certain levels, which range from 0.10% to 0.20%. In addition, Artisan may voluntarily waive fees or reimburse any of the Artisan Global Funds for other expenses. The directors of Artisan Global Funds who are also employees of Artisan receive no compensation from the funds.</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Investment advisory fees for managing Artisan Global Funds and amounts reimbursed to Artisan Global Funds by Artisan are as follows:</w:t>
      </w:r>
    </w:p>
    <w:p>
      <w:pPr>
        <w:spacing w:after="0" w:line="44"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78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3220" w:type="dxa"/>
            <w:vAlign w:val="bottom"/>
            <w:tcBorders>
              <w:bottom w:val="single" w:sz="8" w:color="auto"/>
            </w:tcBorders>
            <w:gridSpan w:val="4"/>
          </w:tcPr>
          <w:p>
            <w:pPr>
              <w:jc w:val="right"/>
              <w:ind w:right="259"/>
              <w:spacing w:after="0"/>
              <w:rPr>
                <w:sz w:val="20"/>
                <w:szCs w:val="20"/>
                <w:color w:val="auto"/>
              </w:rPr>
            </w:pPr>
            <w:r>
              <w:rPr>
                <w:rFonts w:ascii="Times New Roman" w:cs="Times New Roman" w:eastAsia="Times New Roman" w:hAnsi="Times New Roman"/>
                <w:sz w:val="16"/>
                <w:szCs w:val="16"/>
                <w:b w:val="1"/>
                <w:bCs w:val="1"/>
                <w:color w:val="auto"/>
              </w:rPr>
              <w:t>For the Three Months Ended March 31,</w:t>
            </w:r>
          </w:p>
        </w:tc>
        <w:tc>
          <w:tcPr>
            <w:tcW w:w="0" w:type="dxa"/>
            <w:vAlign w:val="bottom"/>
          </w:tcPr>
          <w:p>
            <w:pPr>
              <w:spacing w:after="0"/>
              <w:rPr>
                <w:sz w:val="1"/>
                <w:szCs w:val="1"/>
                <w:color w:val="auto"/>
              </w:rPr>
            </w:pPr>
          </w:p>
        </w:tc>
      </w:tr>
      <w:tr>
        <w:trPr>
          <w:trHeight w:val="214"/>
        </w:trPr>
        <w:tc>
          <w:tcPr>
            <w:tcW w:w="78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Artisan Global Funds</w:t>
            </w:r>
          </w:p>
        </w:tc>
        <w:tc>
          <w:tcPr>
            <w:tcW w:w="22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ind w:right="599"/>
              <w:spacing w:after="0"/>
              <w:rPr>
                <w:sz w:val="20"/>
                <w:szCs w:val="20"/>
                <w:color w:val="auto"/>
              </w:rPr>
            </w:pPr>
            <w:r>
              <w:rPr>
                <w:rFonts w:ascii="Times New Roman" w:cs="Times New Roman" w:eastAsia="Times New Roman" w:hAnsi="Times New Roman"/>
                <w:sz w:val="16"/>
                <w:szCs w:val="16"/>
                <w:b w:val="1"/>
                <w:bCs w:val="1"/>
                <w:color w:val="auto"/>
              </w:rPr>
              <w:t>2026</w:t>
            </w:r>
          </w:p>
        </w:tc>
        <w:tc>
          <w:tcPr>
            <w:tcW w:w="12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579"/>
              <w:spacing w:after="0"/>
              <w:rPr>
                <w:sz w:val="20"/>
                <w:szCs w:val="20"/>
                <w:color w:val="auto"/>
              </w:rPr>
            </w:pPr>
            <w:r>
              <w:rPr>
                <w:rFonts w:ascii="Times New Roman" w:cs="Times New Roman" w:eastAsia="Times New Roman" w:hAnsi="Times New Roman"/>
                <w:sz w:val="16"/>
                <w:szCs w:val="16"/>
                <w:b w:val="1"/>
                <w:bCs w:val="1"/>
                <w:color w:val="auto"/>
              </w:rPr>
              <w:t>2025</w:t>
            </w:r>
          </w:p>
        </w:tc>
        <w:tc>
          <w:tcPr>
            <w:tcW w:w="0" w:type="dxa"/>
            <w:vAlign w:val="bottom"/>
          </w:tcPr>
          <w:p>
            <w:pPr>
              <w:spacing w:after="0"/>
              <w:rPr>
                <w:sz w:val="1"/>
                <w:szCs w:val="1"/>
                <w:color w:val="auto"/>
              </w:rPr>
            </w:pPr>
          </w:p>
        </w:tc>
      </w:tr>
      <w:tr>
        <w:trPr>
          <w:trHeight w:val="211"/>
        </w:trPr>
        <w:tc>
          <w:tcPr>
            <w:tcW w:w="780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6"/>
                <w:szCs w:val="16"/>
                <w:color w:val="auto"/>
              </w:rPr>
              <w:t>Investment advisory fees (Gross of expense reimbursements)</w:t>
            </w:r>
          </w:p>
        </w:tc>
        <w:tc>
          <w:tcPr>
            <w:tcW w:w="2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16,018</w:t>
            </w: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13,921</w:t>
            </w:r>
          </w:p>
        </w:tc>
        <w:tc>
          <w:tcPr>
            <w:tcW w:w="0" w:type="dxa"/>
            <w:vAlign w:val="bottom"/>
          </w:tcPr>
          <w:p>
            <w:pPr>
              <w:spacing w:after="0"/>
              <w:rPr>
                <w:sz w:val="1"/>
                <w:szCs w:val="1"/>
                <w:color w:val="auto"/>
              </w:rPr>
            </w:pPr>
          </w:p>
        </w:tc>
      </w:tr>
      <w:tr>
        <w:trPr>
          <w:trHeight w:val="243"/>
        </w:trPr>
        <w:tc>
          <w:tcPr>
            <w:tcW w:w="7800" w:type="dxa"/>
            <w:vAlign w:val="bottom"/>
          </w:tcPr>
          <w:p>
            <w:pPr>
              <w:ind w:left="400"/>
              <w:spacing w:after="0"/>
              <w:rPr>
                <w:sz w:val="20"/>
                <w:szCs w:val="20"/>
                <w:color w:val="auto"/>
              </w:rPr>
            </w:pPr>
            <w:r>
              <w:rPr>
                <w:rFonts w:ascii="Times New Roman" w:cs="Times New Roman" w:eastAsia="Times New Roman" w:hAnsi="Times New Roman"/>
                <w:sz w:val="16"/>
                <w:szCs w:val="16"/>
                <w:color w:val="auto"/>
              </w:rPr>
              <w:t xml:space="preserve">Elimination of fees from consolidated investment products </w:t>
            </w:r>
            <w:r>
              <w:rPr>
                <w:rFonts w:ascii="Times New Roman" w:cs="Times New Roman" w:eastAsia="Times New Roman" w:hAnsi="Times New Roman"/>
                <w:sz w:val="21"/>
                <w:szCs w:val="21"/>
                <w:color w:val="auto"/>
                <w:vertAlign w:val="superscript"/>
              </w:rPr>
              <w:t>(1)</w:t>
            </w:r>
          </w:p>
        </w:tc>
        <w:tc>
          <w:tcPr>
            <w:tcW w:w="220" w:type="dxa"/>
            <w:vAlign w:val="bottom"/>
          </w:tcPr>
          <w:p>
            <w:pPr>
              <w:spacing w:after="0"/>
              <w:rPr>
                <w:sz w:val="21"/>
                <w:szCs w:val="21"/>
                <w:color w:val="auto"/>
              </w:rPr>
            </w:pPr>
          </w:p>
        </w:tc>
        <w:tc>
          <w:tcPr>
            <w:tcW w:w="14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(160)</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(124)</w:t>
            </w:r>
          </w:p>
        </w:tc>
        <w:tc>
          <w:tcPr>
            <w:tcW w:w="0" w:type="dxa"/>
            <w:vAlign w:val="bottom"/>
          </w:tcPr>
          <w:p>
            <w:pPr>
              <w:spacing w:after="0"/>
              <w:rPr>
                <w:sz w:val="1"/>
                <w:szCs w:val="1"/>
                <w:color w:val="auto"/>
              </w:rPr>
            </w:pPr>
          </w:p>
        </w:tc>
      </w:tr>
      <w:tr>
        <w:trPr>
          <w:trHeight w:val="51"/>
        </w:trPr>
        <w:tc>
          <w:tcPr>
            <w:tcW w:w="7800" w:type="dxa"/>
            <w:vAlign w:val="bottom"/>
            <w:tcBorders>
              <w:bottom w:val="single" w:sz="8" w:color="CCEEFF"/>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440" w:type="dxa"/>
            <w:vAlign w:val="bottom"/>
            <w:tcBorders>
              <w:bottom w:val="single" w:sz="8" w:color="auto"/>
            </w:tcBorders>
            <w:vMerge w:val="continue"/>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1280" w:type="dxa"/>
            <w:vAlign w:val="bottom"/>
            <w:tcBorders>
              <w:bottom w:val="single" w:sz="8" w:color="auto"/>
            </w:tcBorders>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38"/>
        </w:trPr>
        <w:tc>
          <w:tcPr>
            <w:tcW w:w="78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Consolidated investment advisory fees (Gross of expense reimbursements)</w:t>
            </w: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15,858</w:t>
            </w:r>
          </w:p>
        </w:tc>
        <w:tc>
          <w:tcPr>
            <w:tcW w:w="12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13,797</w:t>
            </w:r>
          </w:p>
        </w:tc>
        <w:tc>
          <w:tcPr>
            <w:tcW w:w="0" w:type="dxa"/>
            <w:vAlign w:val="bottom"/>
          </w:tcPr>
          <w:p>
            <w:pPr>
              <w:spacing w:after="0"/>
              <w:rPr>
                <w:sz w:val="1"/>
                <w:szCs w:val="1"/>
                <w:color w:val="auto"/>
              </w:rPr>
            </w:pPr>
          </w:p>
        </w:tc>
      </w:tr>
      <w:tr>
        <w:trPr>
          <w:trHeight w:val="20"/>
        </w:trPr>
        <w:tc>
          <w:tcPr>
            <w:tcW w:w="78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7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0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6"/>
                <w:szCs w:val="16"/>
                <w:color w:val="auto"/>
              </w:rPr>
              <w:t>Expense reimbursements</w:t>
            </w:r>
          </w:p>
        </w:tc>
        <w:tc>
          <w:tcPr>
            <w:tcW w:w="2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117</w:t>
            </w: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146</w:t>
            </w:r>
          </w:p>
        </w:tc>
        <w:tc>
          <w:tcPr>
            <w:tcW w:w="0" w:type="dxa"/>
            <w:vAlign w:val="bottom"/>
          </w:tcPr>
          <w:p>
            <w:pPr>
              <w:spacing w:after="0"/>
              <w:rPr>
                <w:sz w:val="1"/>
                <w:szCs w:val="1"/>
                <w:color w:val="auto"/>
              </w:rPr>
            </w:pPr>
          </w:p>
        </w:tc>
      </w:tr>
      <w:tr>
        <w:trPr>
          <w:trHeight w:val="216"/>
        </w:trPr>
        <w:tc>
          <w:tcPr>
            <w:tcW w:w="7800" w:type="dxa"/>
            <w:vAlign w:val="bottom"/>
            <w:tcBorders>
              <w:bottom w:val="single" w:sz="8" w:color="CCEEFF"/>
            </w:tcBorders>
          </w:tcPr>
          <w:p>
            <w:pPr>
              <w:ind w:left="400"/>
              <w:spacing w:after="0" w:line="216" w:lineRule="exact"/>
              <w:rPr>
                <w:sz w:val="20"/>
                <w:szCs w:val="20"/>
                <w:color w:val="auto"/>
              </w:rPr>
            </w:pPr>
            <w:r>
              <w:rPr>
                <w:rFonts w:ascii="Times New Roman" w:cs="Times New Roman" w:eastAsia="Times New Roman" w:hAnsi="Times New Roman"/>
                <w:sz w:val="16"/>
                <w:szCs w:val="16"/>
                <w:color w:val="auto"/>
              </w:rPr>
              <w:t xml:space="preserve">Elimination of expense reimbursements from consolidated investment products </w:t>
            </w:r>
            <w:r>
              <w:rPr>
                <w:rFonts w:ascii="Times New Roman" w:cs="Times New Roman" w:eastAsia="Times New Roman" w:hAnsi="Times New Roman"/>
                <w:sz w:val="21"/>
                <w:szCs w:val="21"/>
                <w:color w:val="auto"/>
                <w:vertAlign w:val="superscript"/>
              </w:rPr>
              <w:t>(1)</w:t>
            </w:r>
          </w:p>
        </w:tc>
        <w:tc>
          <w:tcPr>
            <w:tcW w:w="22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(94)</w:t>
            </w:r>
          </w:p>
        </w:tc>
        <w:tc>
          <w:tcPr>
            <w:tcW w:w="12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(122)</w:t>
            </w:r>
          </w:p>
        </w:tc>
        <w:tc>
          <w:tcPr>
            <w:tcW w:w="0" w:type="dxa"/>
            <w:vAlign w:val="bottom"/>
          </w:tcPr>
          <w:p>
            <w:pPr>
              <w:spacing w:after="0"/>
              <w:rPr>
                <w:sz w:val="1"/>
                <w:szCs w:val="1"/>
                <w:color w:val="auto"/>
              </w:rPr>
            </w:pPr>
          </w:p>
        </w:tc>
      </w:tr>
      <w:tr>
        <w:trPr>
          <w:trHeight w:val="234"/>
        </w:trPr>
        <w:tc>
          <w:tcPr>
            <w:tcW w:w="78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Consolidated expense reimbursements</w:t>
            </w: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23</w:t>
            </w:r>
          </w:p>
        </w:tc>
        <w:tc>
          <w:tcPr>
            <w:tcW w:w="12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24</w:t>
            </w:r>
          </w:p>
        </w:tc>
        <w:tc>
          <w:tcPr>
            <w:tcW w:w="0" w:type="dxa"/>
            <w:vAlign w:val="bottom"/>
          </w:tcPr>
          <w:p>
            <w:pPr>
              <w:spacing w:after="0"/>
              <w:rPr>
                <w:sz w:val="1"/>
                <w:szCs w:val="1"/>
                <w:color w:val="auto"/>
              </w:rPr>
            </w:pPr>
          </w:p>
        </w:tc>
      </w:tr>
      <w:tr>
        <w:trPr>
          <w:trHeight w:val="20"/>
        </w:trPr>
        <w:tc>
          <w:tcPr>
            <w:tcW w:w="78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ind w:left="160" w:hanging="134"/>
        <w:spacing w:after="0" w:line="236" w:lineRule="auto"/>
        <w:tabs>
          <w:tab w:leader="none" w:pos="160" w:val="left"/>
        </w:tabs>
        <w:numPr>
          <w:ilvl w:val="0"/>
          <w:numId w:val="14"/>
        </w:numPr>
        <w:rPr>
          <w:rFonts w:ascii="Times New Roman" w:cs="Times New Roman" w:eastAsia="Times New Roman" w:hAnsi="Times New Roman"/>
          <w:sz w:val="17"/>
          <w:szCs w:val="17"/>
          <w:color w:val="auto"/>
          <w:vertAlign w:val="superscript"/>
        </w:rPr>
      </w:pPr>
      <w:r>
        <w:rPr>
          <w:rFonts w:ascii="Times New Roman" w:cs="Times New Roman" w:eastAsia="Times New Roman" w:hAnsi="Times New Roman"/>
          <w:sz w:val="13"/>
          <w:szCs w:val="13"/>
          <w:color w:val="auto"/>
        </w:rPr>
        <w:t>Investment advisory fees and expense reimbursements related to consolidated investment products are eliminated from revenue upon consolidation.</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Affiliate transactions—Artisan Private Funds</w:t>
      </w:r>
    </w:p>
    <w:p>
      <w:pPr>
        <w:spacing w:after="0" w:line="115"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6"/>
          <w:szCs w:val="16"/>
          <w:color w:val="auto"/>
        </w:rPr>
        <w:t>Pursuant to written agreements, Artisan serves as the investment manager, and acts as the general partner, for certain Artisan Private Funds. Under the terms of these agreements, Artisan earns a management fee and, for certain funds, is entitled to receive either an allocation of profits or a performance-based fee. In addition, Artisan has agreed to reimburse certain funds to the extent that expenses, excluding Artisan’s management fee, performance fee and transaction related costs, exceed certain levels, which range from 0.10% to 1.00% per annum of the net assets of the fund. Artisan may also voluntarily waive fees or reimburse the funds for other expenses. The directors of Artisan Private Funds and the officers of the general partners of the Artisan Private Funds who are affiliated with Artisan receive no compensation from the funds. Artisan and certain related parties, including employees, officers and members of the Company’s Board, have invested in one or more of the Artisan Private Funds and, for certain of those investments, do not pay a management fee, performance fee or incentive allocation.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Investment advisory fees for managing Artisan Private Funds and amounts reimbursed to Artisan Private Funds by Artisan are as follows:</w:t>
      </w:r>
    </w:p>
    <w:p>
      <w:pPr>
        <w:spacing w:after="0" w:line="44"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78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3220" w:type="dxa"/>
            <w:vAlign w:val="bottom"/>
            <w:tcBorders>
              <w:bottom w:val="single" w:sz="8" w:color="auto"/>
            </w:tcBorders>
            <w:gridSpan w:val="4"/>
          </w:tcPr>
          <w:p>
            <w:pPr>
              <w:jc w:val="right"/>
              <w:ind w:right="259"/>
              <w:spacing w:after="0"/>
              <w:rPr>
                <w:sz w:val="20"/>
                <w:szCs w:val="20"/>
                <w:color w:val="auto"/>
              </w:rPr>
            </w:pPr>
            <w:r>
              <w:rPr>
                <w:rFonts w:ascii="Times New Roman" w:cs="Times New Roman" w:eastAsia="Times New Roman" w:hAnsi="Times New Roman"/>
                <w:sz w:val="16"/>
                <w:szCs w:val="16"/>
                <w:b w:val="1"/>
                <w:bCs w:val="1"/>
                <w:color w:val="auto"/>
              </w:rPr>
              <w:t>For the Three Months Ended March 31,</w:t>
            </w:r>
          </w:p>
        </w:tc>
      </w:tr>
      <w:tr>
        <w:trPr>
          <w:trHeight w:val="214"/>
        </w:trPr>
        <w:tc>
          <w:tcPr>
            <w:tcW w:w="78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Artisan Private Funds</w:t>
            </w:r>
          </w:p>
        </w:tc>
        <w:tc>
          <w:tcPr>
            <w:tcW w:w="22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ind w:right="599"/>
              <w:spacing w:after="0"/>
              <w:rPr>
                <w:sz w:val="20"/>
                <w:szCs w:val="20"/>
                <w:color w:val="auto"/>
              </w:rPr>
            </w:pPr>
            <w:r>
              <w:rPr>
                <w:rFonts w:ascii="Times New Roman" w:cs="Times New Roman" w:eastAsia="Times New Roman" w:hAnsi="Times New Roman"/>
                <w:sz w:val="16"/>
                <w:szCs w:val="16"/>
                <w:b w:val="1"/>
                <w:bCs w:val="1"/>
                <w:color w:val="auto"/>
              </w:rPr>
              <w:t>2026</w:t>
            </w:r>
          </w:p>
        </w:tc>
        <w:tc>
          <w:tcPr>
            <w:tcW w:w="12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579"/>
              <w:spacing w:after="0"/>
              <w:rPr>
                <w:sz w:val="20"/>
                <w:szCs w:val="20"/>
                <w:color w:val="auto"/>
              </w:rPr>
            </w:pPr>
            <w:r>
              <w:rPr>
                <w:rFonts w:ascii="Times New Roman" w:cs="Times New Roman" w:eastAsia="Times New Roman" w:hAnsi="Times New Roman"/>
                <w:sz w:val="16"/>
                <w:szCs w:val="16"/>
                <w:b w:val="1"/>
                <w:bCs w:val="1"/>
                <w:color w:val="auto"/>
              </w:rPr>
              <w:t>2025</w:t>
            </w:r>
          </w:p>
        </w:tc>
      </w:tr>
      <w:tr>
        <w:trPr>
          <w:trHeight w:val="211"/>
        </w:trPr>
        <w:tc>
          <w:tcPr>
            <w:tcW w:w="780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6"/>
                <w:szCs w:val="16"/>
                <w:color w:val="auto"/>
              </w:rPr>
              <w:t>Investment advisory fees (Gross of expense reimbursements)</w:t>
            </w:r>
          </w:p>
        </w:tc>
        <w:tc>
          <w:tcPr>
            <w:tcW w:w="2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5,468</w:t>
            </w: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3,029</w:t>
            </w:r>
          </w:p>
        </w:tc>
      </w:tr>
      <w:tr>
        <w:trPr>
          <w:trHeight w:val="216"/>
        </w:trPr>
        <w:tc>
          <w:tcPr>
            <w:tcW w:w="7800" w:type="dxa"/>
            <w:vAlign w:val="bottom"/>
          </w:tcPr>
          <w:p>
            <w:pPr>
              <w:ind w:left="400"/>
              <w:spacing w:after="0" w:line="216" w:lineRule="exact"/>
              <w:rPr>
                <w:sz w:val="20"/>
                <w:szCs w:val="20"/>
                <w:color w:val="auto"/>
              </w:rPr>
            </w:pPr>
            <w:r>
              <w:rPr>
                <w:rFonts w:ascii="Times New Roman" w:cs="Times New Roman" w:eastAsia="Times New Roman" w:hAnsi="Times New Roman"/>
                <w:sz w:val="16"/>
                <w:szCs w:val="16"/>
                <w:color w:val="auto"/>
              </w:rPr>
              <w:t xml:space="preserve">Elimination of fees from consolidated investment products </w:t>
            </w:r>
            <w:r>
              <w:rPr>
                <w:rFonts w:ascii="Times New Roman" w:cs="Times New Roman" w:eastAsia="Times New Roman" w:hAnsi="Times New Roman"/>
                <w:sz w:val="21"/>
                <w:szCs w:val="21"/>
                <w:color w:val="auto"/>
                <w:vertAlign w:val="superscript"/>
              </w:rPr>
              <w:t>(1)</w:t>
            </w:r>
          </w:p>
        </w:tc>
        <w:tc>
          <w:tcPr>
            <w:tcW w:w="220" w:type="dxa"/>
            <w:vAlign w:val="bottom"/>
          </w:tcPr>
          <w:p>
            <w:pPr>
              <w:spacing w:after="0"/>
              <w:rPr>
                <w:sz w:val="18"/>
                <w:szCs w:val="18"/>
                <w:color w:val="auto"/>
              </w:rPr>
            </w:pPr>
          </w:p>
        </w:tc>
        <w:tc>
          <w:tcPr>
            <w:tcW w:w="15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(96)</w:t>
            </w:r>
          </w:p>
        </w:tc>
      </w:tr>
      <w:tr>
        <w:trPr>
          <w:trHeight w:val="234"/>
        </w:trPr>
        <w:tc>
          <w:tcPr>
            <w:tcW w:w="78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Consolidated investment advisory fees (Gross of expense reimbursements)</w:t>
            </w:r>
          </w:p>
        </w:tc>
        <w:tc>
          <w:tcPr>
            <w:tcW w:w="220" w:type="dxa"/>
            <w:vAlign w:val="bottom"/>
            <w:tcBorders>
              <w:top w:val="single" w:sz="8" w:color="auto"/>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5,468</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380" w:type="dxa"/>
            <w:vAlign w:val="bottom"/>
            <w:tcBorders>
              <w:top w:val="single" w:sz="8" w:color="auto"/>
              <w:bottom w:val="single" w:sz="8" w:color="auto"/>
            </w:tcBorders>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2,933</w:t>
            </w:r>
          </w:p>
        </w:tc>
      </w:tr>
      <w:tr>
        <w:trPr>
          <w:trHeight w:val="20"/>
        </w:trPr>
        <w:tc>
          <w:tcPr>
            <w:tcW w:w="78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7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80" w:type="dxa"/>
            <w:vAlign w:val="bottom"/>
          </w:tcPr>
          <w:p>
            <w:pPr>
              <w:spacing w:after="0"/>
              <w:rPr>
                <w:sz w:val="18"/>
                <w:szCs w:val="18"/>
                <w:color w:val="auto"/>
              </w:rPr>
            </w:pPr>
          </w:p>
        </w:tc>
      </w:tr>
      <w:tr>
        <w:trPr>
          <w:trHeight w:val="216"/>
        </w:trPr>
        <w:tc>
          <w:tcPr>
            <w:tcW w:w="780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6"/>
                <w:szCs w:val="16"/>
                <w:color w:val="auto"/>
              </w:rPr>
              <w:t>Expense reimbursements</w:t>
            </w:r>
          </w:p>
        </w:tc>
        <w:tc>
          <w:tcPr>
            <w:tcW w:w="2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w:t>
            </w: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130</w:t>
            </w:r>
          </w:p>
        </w:tc>
      </w:tr>
      <w:tr>
        <w:trPr>
          <w:trHeight w:val="216"/>
        </w:trPr>
        <w:tc>
          <w:tcPr>
            <w:tcW w:w="7800" w:type="dxa"/>
            <w:vAlign w:val="bottom"/>
            <w:tcBorders>
              <w:bottom w:val="single" w:sz="8" w:color="CCEEFF"/>
            </w:tcBorders>
          </w:tcPr>
          <w:p>
            <w:pPr>
              <w:ind w:left="400"/>
              <w:spacing w:after="0" w:line="216" w:lineRule="exact"/>
              <w:rPr>
                <w:sz w:val="20"/>
                <w:szCs w:val="20"/>
                <w:color w:val="auto"/>
              </w:rPr>
            </w:pPr>
            <w:r>
              <w:rPr>
                <w:rFonts w:ascii="Times New Roman" w:cs="Times New Roman" w:eastAsia="Times New Roman" w:hAnsi="Times New Roman"/>
                <w:sz w:val="16"/>
                <w:szCs w:val="16"/>
                <w:color w:val="auto"/>
              </w:rPr>
              <w:t xml:space="preserve">Elimination of expense reimbursements from consolidated investment products </w:t>
            </w:r>
            <w:r>
              <w:rPr>
                <w:rFonts w:ascii="Times New Roman" w:cs="Times New Roman" w:eastAsia="Times New Roman" w:hAnsi="Times New Roman"/>
                <w:sz w:val="21"/>
                <w:szCs w:val="21"/>
                <w:color w:val="auto"/>
                <w:vertAlign w:val="superscript"/>
              </w:rPr>
              <w:t>(1)</w:t>
            </w:r>
          </w:p>
        </w:tc>
        <w:tc>
          <w:tcPr>
            <w:tcW w:w="22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w:t>
            </w:r>
          </w:p>
        </w:tc>
        <w:tc>
          <w:tcPr>
            <w:tcW w:w="12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(52)</w:t>
            </w:r>
          </w:p>
        </w:tc>
      </w:tr>
      <w:tr>
        <w:trPr>
          <w:trHeight w:val="217"/>
        </w:trPr>
        <w:tc>
          <w:tcPr>
            <w:tcW w:w="78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Consolidated expense reimbursements</w:t>
            </w: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29</w:t>
            </w:r>
          </w:p>
        </w:tc>
        <w:tc>
          <w:tcPr>
            <w:tcW w:w="120" w:type="dxa"/>
            <w:vAlign w:val="bottom"/>
            <w:tcBorders>
              <w:bottom w:val="single" w:sz="8" w:color="CCEEFF"/>
            </w:tcBorders>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78</w:t>
            </w:r>
          </w:p>
        </w:tc>
      </w:tr>
    </w:tbl>
    <w:p>
      <w:pPr>
        <w:ind w:left="180" w:hanging="154"/>
        <w:spacing w:after="0"/>
        <w:tabs>
          <w:tab w:leader="none" w:pos="180" w:val="left"/>
        </w:tabs>
        <w:numPr>
          <w:ilvl w:val="0"/>
          <w:numId w:val="15"/>
        </w:numPr>
        <w:rPr>
          <w:rFonts w:ascii="Times New Roman" w:cs="Times New Roman" w:eastAsia="Times New Roman" w:hAnsi="Times New Roman"/>
          <w:sz w:val="9"/>
          <w:szCs w:val="9"/>
          <w:color w:val="auto"/>
        </w:rPr>
      </w:pPr>
      <w:r>
        <w:rPr>
          <w:rFonts w:ascii="Times New Roman" w:cs="Times New Roman" w:eastAsia="Times New Roman" w:hAnsi="Times New Roman"/>
          <w:sz w:val="14"/>
          <w:szCs w:val="14"/>
          <w:color w:val="auto"/>
        </w:rPr>
        <w:t>Investment advisory fees and expense reimbursements related to consolidated investment products are eliminated from revenue upon consolidation.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4951095</wp:posOffset>
            </wp:positionH>
            <wp:positionV relativeFrom="paragraph">
              <wp:posOffset>-92710</wp:posOffset>
            </wp:positionV>
            <wp:extent cx="218567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2185670" cy="8255"/>
                    </a:xfrm>
                    <a:prstGeom prst="rect">
                      <a:avLst/>
                    </a:prstGeom>
                    <a:noFill/>
                  </pic:spPr>
                </pic:pic>
              </a:graphicData>
            </a:graphic>
          </wp:anchor>
        </w:drawing>
      </w: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Note 16. Segment Information</w:t>
      </w:r>
    </w:p>
    <w:p>
      <w:pPr>
        <w:spacing w:after="0" w:line="115" w:lineRule="exact"/>
        <w:rPr>
          <w:sz w:val="20"/>
          <w:szCs w:val="20"/>
          <w:color w:val="auto"/>
        </w:rPr>
      </w:pPr>
    </w:p>
    <w:p>
      <w:pPr>
        <w:ind w:right="20"/>
        <w:spacing w:after="0" w:line="259" w:lineRule="auto"/>
        <w:rPr>
          <w:sz w:val="20"/>
          <w:szCs w:val="20"/>
          <w:color w:val="auto"/>
        </w:rPr>
      </w:pPr>
      <w:r>
        <w:rPr>
          <w:rFonts w:ascii="Times New Roman" w:cs="Times New Roman" w:eastAsia="Times New Roman" w:hAnsi="Times New Roman"/>
          <w:sz w:val="16"/>
          <w:szCs w:val="16"/>
          <w:color w:val="auto"/>
        </w:rPr>
        <w:t>Artisan operates as one segment in the investment management business. The Company’s Chief Operating Decision Maker (the “CODM”) is its Chief Executive Officer and President, who reviews financial information on a consolidated basis for purposes of allocating resources and assessing financial performance. The CODM uses consolidated Net Income attributable to Artisan Partners Asset Management, Inc. as presented within the Consolidated Statements of Operations (“net income”), among other consolidated metrics, to evaluate segment performance. Based on net income, as well as the other metrics, the CODM considers whether to use profits to invest in growth initiatives or return cash to shareholders through dividends while assessing the level of resources available through review of “Total assets” as presented within the consolidated statements of financial condition. The CODM reviews significant segment expenses at a level consistent with that presented in the Consolidated Statements of Operations with the exception of Compensation and Benefits which is reviewed at a more disaggregated level as presented in the table below for the three months ended March 31, 2026 and 2025.</w:t>
      </w:r>
    </w:p>
    <w:p>
      <w:pPr>
        <w:spacing w:after="0" w:line="323"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800" w:type="dxa"/>
            <w:vAlign w:val="bottom"/>
          </w:tcPr>
          <w:p>
            <w:pPr>
              <w:spacing w:after="0"/>
              <w:rPr>
                <w:sz w:val="18"/>
                <w:szCs w:val="18"/>
                <w:color w:val="auto"/>
              </w:rPr>
            </w:pPr>
          </w:p>
        </w:tc>
        <w:tc>
          <w:tcPr>
            <w:tcW w:w="3440" w:type="dxa"/>
            <w:vAlign w:val="bottom"/>
            <w:tcBorders>
              <w:bottom w:val="single" w:sz="8" w:color="auto"/>
            </w:tcBorders>
            <w:gridSpan w:val="5"/>
          </w:tcPr>
          <w:p>
            <w:pPr>
              <w:jc w:val="right"/>
              <w:ind w:right="259"/>
              <w:spacing w:after="0"/>
              <w:rPr>
                <w:sz w:val="20"/>
                <w:szCs w:val="20"/>
                <w:color w:val="auto"/>
              </w:rPr>
            </w:pPr>
            <w:r>
              <w:rPr>
                <w:rFonts w:ascii="Times New Roman" w:cs="Times New Roman" w:eastAsia="Times New Roman" w:hAnsi="Times New Roman"/>
                <w:sz w:val="16"/>
                <w:szCs w:val="16"/>
                <w:b w:val="1"/>
                <w:bCs w:val="1"/>
                <w:color w:val="auto"/>
              </w:rPr>
              <w:t>For the Three Months Ended March 31,</w:t>
            </w:r>
          </w:p>
        </w:tc>
      </w:tr>
      <w:tr>
        <w:trPr>
          <w:trHeight w:val="211"/>
        </w:trPr>
        <w:tc>
          <w:tcPr>
            <w:tcW w:w="7800" w:type="dxa"/>
            <w:vAlign w:val="bottom"/>
            <w:tcBorders>
              <w:bottom w:val="single" w:sz="8" w:color="CCEEFF"/>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2026</w:t>
            </w:r>
          </w:p>
        </w:tc>
        <w:tc>
          <w:tcPr>
            <w:tcW w:w="64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579"/>
              <w:spacing w:after="0"/>
              <w:rPr>
                <w:sz w:val="20"/>
                <w:szCs w:val="20"/>
                <w:color w:val="auto"/>
              </w:rPr>
            </w:pPr>
            <w:r>
              <w:rPr>
                <w:rFonts w:ascii="Times New Roman" w:cs="Times New Roman" w:eastAsia="Times New Roman" w:hAnsi="Times New Roman"/>
                <w:sz w:val="16"/>
                <w:szCs w:val="16"/>
                <w:b w:val="1"/>
                <w:bCs w:val="1"/>
                <w:color w:val="auto"/>
              </w:rPr>
              <w:t>2025</w:t>
            </w:r>
          </w:p>
        </w:tc>
      </w:tr>
      <w:tr>
        <w:trPr>
          <w:trHeight w:val="211"/>
        </w:trPr>
        <w:tc>
          <w:tcPr>
            <w:tcW w:w="7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Salaries</w:t>
            </w:r>
          </w:p>
        </w:tc>
        <w:tc>
          <w:tcPr>
            <w:tcW w:w="1020" w:type="dxa"/>
            <w:vAlign w:val="bottom"/>
            <w:shd w:val="clear" w:color="auto" w:fill="CCEEFF"/>
          </w:tcPr>
          <w:p>
            <w:pPr>
              <w:jc w:val="right"/>
              <w:ind w:right="839"/>
              <w:spacing w:after="0"/>
              <w:rPr>
                <w:sz w:val="20"/>
                <w:szCs w:val="20"/>
                <w:color w:val="auto"/>
              </w:rPr>
            </w:pPr>
            <w:r>
              <w:rPr>
                <w:rFonts w:ascii="Times New Roman" w:cs="Times New Roman" w:eastAsia="Times New Roman" w:hAnsi="Times New Roman"/>
                <w:sz w:val="16"/>
                <w:szCs w:val="16"/>
                <w:color w:val="auto"/>
                <w:w w:val="99"/>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26,746</w:t>
            </w: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25,483</w:t>
            </w:r>
          </w:p>
        </w:tc>
      </w:tr>
      <w:tr>
        <w:trPr>
          <w:trHeight w:val="213"/>
        </w:trPr>
        <w:tc>
          <w:tcPr>
            <w:tcW w:w="78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Incentive compensation</w:t>
            </w:r>
          </w:p>
        </w:tc>
        <w:tc>
          <w:tcPr>
            <w:tcW w:w="10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102,121</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93,410</w:t>
            </w:r>
          </w:p>
        </w:tc>
      </w:tr>
      <w:tr>
        <w:trPr>
          <w:trHeight w:val="219"/>
        </w:trPr>
        <w:tc>
          <w:tcPr>
            <w:tcW w:w="7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Benefits and payroll taxes</w:t>
            </w:r>
          </w:p>
        </w:tc>
        <w:tc>
          <w:tcPr>
            <w:tcW w:w="102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17,932</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15,086</w:t>
            </w:r>
          </w:p>
        </w:tc>
      </w:tr>
      <w:tr>
        <w:trPr>
          <w:trHeight w:val="213"/>
        </w:trPr>
        <w:tc>
          <w:tcPr>
            <w:tcW w:w="78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Long-term incentive compensation</w:t>
            </w:r>
          </w:p>
        </w:tc>
        <w:tc>
          <w:tcPr>
            <w:tcW w:w="10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21,912</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18,670</w:t>
            </w:r>
          </w:p>
        </w:tc>
      </w:tr>
      <w:tr>
        <w:trPr>
          <w:trHeight w:val="216"/>
        </w:trPr>
        <w:tc>
          <w:tcPr>
            <w:tcW w:w="7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Market valuation changes in compensation plans</w:t>
            </w:r>
          </w:p>
        </w:tc>
        <w:tc>
          <w:tcPr>
            <w:tcW w:w="102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2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2,512</w:t>
            </w:r>
          </w:p>
        </w:tc>
      </w:tr>
      <w:tr>
        <w:trPr>
          <w:trHeight w:val="212"/>
        </w:trPr>
        <w:tc>
          <w:tcPr>
            <w:tcW w:w="780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Total compensation and benefits</w:t>
            </w:r>
          </w:p>
        </w:tc>
        <w:tc>
          <w:tcPr>
            <w:tcW w:w="1020" w:type="dxa"/>
            <w:vAlign w:val="bottom"/>
            <w:tcBorders>
              <w:bottom w:val="single" w:sz="8" w:color="auto"/>
            </w:tcBorders>
          </w:tcPr>
          <w:p>
            <w:pPr>
              <w:jc w:val="right"/>
              <w:ind w:right="839"/>
              <w:spacing w:after="0"/>
              <w:rPr>
                <w:sz w:val="20"/>
                <w:szCs w:val="20"/>
                <w:color w:val="auto"/>
              </w:rPr>
            </w:pPr>
            <w:r>
              <w:rPr>
                <w:rFonts w:ascii="Times New Roman" w:cs="Times New Roman" w:eastAsia="Times New Roman" w:hAnsi="Times New Roman"/>
                <w:sz w:val="16"/>
                <w:szCs w:val="16"/>
                <w:color w:val="auto"/>
                <w:w w:val="99"/>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168,713</w:t>
            </w:r>
          </w:p>
        </w:tc>
        <w:tc>
          <w:tcPr>
            <w:tcW w:w="120" w:type="dxa"/>
            <w:vAlign w:val="bottom"/>
          </w:tcPr>
          <w:p>
            <w:pPr>
              <w:spacing w:after="0"/>
              <w:rPr>
                <w:sz w:val="18"/>
                <w:szCs w:val="18"/>
                <w:color w:val="auto"/>
              </w:rPr>
            </w:pPr>
          </w:p>
        </w:tc>
        <w:tc>
          <w:tcPr>
            <w:tcW w:w="380" w:type="dxa"/>
            <w:vAlign w:val="bottom"/>
            <w:tcBorders>
              <w:bottom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155,161</w:t>
            </w:r>
          </w:p>
        </w:tc>
      </w:tr>
      <w:tr>
        <w:trPr>
          <w:trHeight w:val="20"/>
        </w:trPr>
        <w:tc>
          <w:tcPr>
            <w:tcW w:w="780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bl>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Note 17. Subsequent Events</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Distributions and dividends</w:t>
      </w:r>
    </w:p>
    <w:p>
      <w:pPr>
        <w:spacing w:after="0" w:line="115" w:lineRule="exact"/>
        <w:rPr>
          <w:sz w:val="20"/>
          <w:szCs w:val="20"/>
          <w:color w:val="auto"/>
        </w:rPr>
      </w:pPr>
    </w:p>
    <w:p>
      <w:pPr>
        <w:jc w:val="both"/>
        <w:ind w:right="40"/>
        <w:spacing w:after="0" w:line="272" w:lineRule="auto"/>
        <w:rPr>
          <w:sz w:val="20"/>
          <w:szCs w:val="20"/>
          <w:color w:val="auto"/>
        </w:rPr>
      </w:pPr>
      <w:r>
        <w:rPr>
          <w:rFonts w:ascii="Times New Roman" w:cs="Times New Roman" w:eastAsia="Times New Roman" w:hAnsi="Times New Roman"/>
          <w:sz w:val="16"/>
          <w:szCs w:val="16"/>
          <w:color w:val="auto"/>
        </w:rPr>
        <w:t>APAM, acting as the general partner of Artisan Partners Holdings, declared, effective April 28, 2026, a distribution by Artisan Partners Holdings of $40.7 million to holders of Artisan Partners Holdings partnership units, including APAM. The board of directors of APAM declared, effective April 28, 2026, a quarterly dividend of $0.77 per share of Class A common stock. The APAM dividend is payable on May 29, 2026, to stockholders of record as of May 15, 2026.</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TRA Payments</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During April 2026, the Company paid $30.3 million under the tax receivable agreements representing a portion of the Company's estimated total 2026 TRA payments.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ind w:right="4700"/>
        <w:spacing w:after="0" w:line="398" w:lineRule="auto"/>
        <w:rPr>
          <w:sz w:val="20"/>
          <w:szCs w:val="20"/>
          <w:color w:val="auto"/>
        </w:rPr>
      </w:pPr>
      <w:r>
        <w:rPr>
          <w:rFonts w:ascii="Times New Roman" w:cs="Times New Roman" w:eastAsia="Times New Roman" w:hAnsi="Times New Roman"/>
          <w:sz w:val="16"/>
          <w:szCs w:val="16"/>
          <w:b w:val="1"/>
          <w:bCs w:val="1"/>
          <w:color w:val="auto"/>
        </w:rPr>
        <w:t xml:space="preserve">Item 2. </w:t>
      </w:r>
      <w:r>
        <w:rPr>
          <w:rFonts w:ascii="Times New Roman" w:cs="Times New Roman" w:eastAsia="Times New Roman" w:hAnsi="Times New Roman"/>
          <w:sz w:val="16"/>
          <w:szCs w:val="16"/>
          <w:b w:val="1"/>
          <w:bCs w:val="1"/>
          <w:i w:val="1"/>
          <w:iCs w:val="1"/>
          <w:color w:val="auto"/>
        </w:rPr>
        <w:t>Management’s Discussion and Analysis of Financial Condition and Results of Operations</w:t>
      </w:r>
      <w:r>
        <w:rPr>
          <w:rFonts w:ascii="Times New Roman" w:cs="Times New Roman" w:eastAsia="Times New Roman" w:hAnsi="Times New Roman"/>
          <w:sz w:val="16"/>
          <w:szCs w:val="16"/>
          <w:b w:val="1"/>
          <w:bCs w:val="1"/>
          <w:color w:val="auto"/>
        </w:rPr>
        <w:t xml:space="preserve"> Overview and Recent Highlights</w:t>
      </w:r>
    </w:p>
    <w:p>
      <w:pPr>
        <w:spacing w:after="0" w:line="1" w:lineRule="exact"/>
        <w:rPr>
          <w:sz w:val="20"/>
          <w:szCs w:val="20"/>
          <w:color w:val="auto"/>
        </w:rPr>
      </w:pPr>
    </w:p>
    <w:p>
      <w:pPr>
        <w:ind w:right="400"/>
        <w:spacing w:after="0" w:line="272" w:lineRule="auto"/>
        <w:rPr>
          <w:sz w:val="20"/>
          <w:szCs w:val="20"/>
          <w:color w:val="auto"/>
        </w:rPr>
      </w:pPr>
      <w:r>
        <w:rPr>
          <w:rFonts w:ascii="Times New Roman" w:cs="Times New Roman" w:eastAsia="Times New Roman" w:hAnsi="Times New Roman"/>
          <w:sz w:val="16"/>
          <w:szCs w:val="16"/>
          <w:color w:val="auto"/>
        </w:rPr>
        <w:t>We are a global multi-asset investment platform focused on providing a broad range of high-value added investment strategies in growing asset classes to sophisticated clients around the world. As of March 31, 2026, our 12 autonomous investment teams managed a total of 27 investment strategies across multiple asset classes and investment styles.</w:t>
      </w:r>
    </w:p>
    <w:p>
      <w:pPr>
        <w:spacing w:after="0" w:line="63" w:lineRule="exact"/>
        <w:rPr>
          <w:sz w:val="20"/>
          <w:szCs w:val="20"/>
          <w:color w:val="auto"/>
        </w:rPr>
      </w:pPr>
    </w:p>
    <w:p>
      <w:pPr>
        <w:ind w:right="100"/>
        <w:spacing w:after="0" w:line="263" w:lineRule="auto"/>
        <w:rPr>
          <w:sz w:val="20"/>
          <w:szCs w:val="20"/>
          <w:color w:val="auto"/>
        </w:rPr>
      </w:pPr>
      <w:r>
        <w:rPr>
          <w:rFonts w:ascii="Times New Roman" w:cs="Times New Roman" w:eastAsia="Times New Roman" w:hAnsi="Times New Roman"/>
          <w:sz w:val="16"/>
          <w:szCs w:val="16"/>
          <w:color w:val="auto"/>
        </w:rPr>
        <w:t>We focus on attracting, retaining and developing talented investment professionals and creating an environment in which each investment team is provided ample resources and support, transparent and direct financial incentives, a high degree of investment autonomy, and a long-term time horizon. We create new investment strategies when we identify opportunities to add value for clients, oftentimes through the use of a broad array of securities, instruments and techniques (which we call degrees of freedom) to differentiate returns and manage risk.</w:t>
      </w:r>
    </w:p>
    <w:p>
      <w:pPr>
        <w:spacing w:after="0" w:line="85" w:lineRule="exact"/>
        <w:rPr>
          <w:sz w:val="20"/>
          <w:szCs w:val="20"/>
          <w:color w:val="auto"/>
        </w:rPr>
      </w:pPr>
    </w:p>
    <w:p>
      <w:pPr>
        <w:spacing w:after="0" w:line="259" w:lineRule="auto"/>
        <w:rPr>
          <w:sz w:val="20"/>
          <w:szCs w:val="20"/>
          <w:color w:val="auto"/>
        </w:rPr>
      </w:pPr>
      <w:r>
        <w:rPr>
          <w:rFonts w:ascii="Times New Roman" w:cs="Times New Roman" w:eastAsia="Times New Roman" w:hAnsi="Times New Roman"/>
          <w:sz w:val="16"/>
          <w:szCs w:val="16"/>
          <w:color w:val="auto"/>
        </w:rPr>
        <w:t>We offer our investment management capabilities primarily to sophisticated investors that operate with institutional decision-making processes and longer-term investment horizons. We employ knowledgeable and investment focused relationship managers who are directly aligned with our investment teams, and we pair them with regional and distribution channel experts. We provide access to many of our investment strategies through multiple investment vehicles, including separate accounts and different types of pooled vehicles. As of March 31, 2026, approximately 74% of our assets under management (AUM) were managed for clients and investors domiciled in the U.S. and 26% of our AUM were managed for clients and investors domiciled outside of the U.S.</w:t>
      </w:r>
    </w:p>
    <w:p>
      <w:pPr>
        <w:spacing w:after="0" w:line="74" w:lineRule="exact"/>
        <w:rPr>
          <w:sz w:val="20"/>
          <w:szCs w:val="20"/>
          <w:color w:val="auto"/>
        </w:rPr>
      </w:pPr>
    </w:p>
    <w:p>
      <w:pPr>
        <w:jc w:val="both"/>
        <w:ind w:right="160"/>
        <w:spacing w:after="0" w:line="272" w:lineRule="auto"/>
        <w:rPr>
          <w:sz w:val="20"/>
          <w:szCs w:val="20"/>
          <w:color w:val="auto"/>
        </w:rPr>
      </w:pPr>
      <w:r>
        <w:rPr>
          <w:rFonts w:ascii="Times New Roman" w:cs="Times New Roman" w:eastAsia="Times New Roman" w:hAnsi="Times New Roman"/>
          <w:sz w:val="16"/>
          <w:szCs w:val="16"/>
          <w:color w:val="auto"/>
        </w:rPr>
        <w:t>As a high-value added investment manager we expect that long-term investment performance will be the primary driver of our long-term business and financial results. If we maintain and evolve existing investment strategies and launch new investment strategies that meet the needs of and generate attractive outcomes for sophisticated asset allocators, we believe that we will continue to generate strong business and financial results.</w:t>
      </w:r>
    </w:p>
    <w:p>
      <w:pPr>
        <w:spacing w:after="0" w:line="76" w:lineRule="exact"/>
        <w:rPr>
          <w:sz w:val="20"/>
          <w:szCs w:val="20"/>
          <w:color w:val="auto"/>
        </w:rPr>
      </w:pPr>
    </w:p>
    <w:p>
      <w:pPr>
        <w:ind w:right="60"/>
        <w:spacing w:after="0" w:line="263" w:lineRule="auto"/>
        <w:rPr>
          <w:sz w:val="20"/>
          <w:szCs w:val="20"/>
          <w:color w:val="auto"/>
        </w:rPr>
      </w:pPr>
      <w:r>
        <w:rPr>
          <w:rFonts w:ascii="Times New Roman" w:cs="Times New Roman" w:eastAsia="Times New Roman" w:hAnsi="Times New Roman"/>
          <w:sz w:val="16"/>
          <w:szCs w:val="16"/>
          <w:color w:val="auto"/>
        </w:rPr>
        <w:t>Over shorter time periods, changes in our business and financial results are largely driven by market conditions and fluctuations in our AUM that may not necessarily be the result of our long-term investment performance or the long-term demand for our strategies. For this reason, we expect that our business and financial results will fluctuate over time.</w:t>
      </w:r>
    </w:p>
    <w:p>
      <w:pPr>
        <w:spacing w:after="0" w:line="84" w:lineRule="exact"/>
        <w:rPr>
          <w:sz w:val="20"/>
          <w:szCs w:val="20"/>
          <w:color w:val="auto"/>
        </w:rPr>
      </w:pPr>
    </w:p>
    <w:p>
      <w:pPr>
        <w:ind w:right="80"/>
        <w:spacing w:after="0" w:line="280" w:lineRule="auto"/>
        <w:rPr>
          <w:sz w:val="20"/>
          <w:szCs w:val="20"/>
          <w:color w:val="auto"/>
        </w:rPr>
      </w:pPr>
      <w:r>
        <w:rPr>
          <w:rFonts w:ascii="Times New Roman" w:cs="Times New Roman" w:eastAsia="Times New Roman" w:hAnsi="Times New Roman"/>
          <w:sz w:val="16"/>
          <w:szCs w:val="16"/>
          <w:color w:val="auto"/>
        </w:rPr>
        <w:t>We strive to maintain a financial model that is transparent and predictable. We derive nearly all of our revenues from investment management fees, most of which are based on a specified percentage of clients’ AUM. A majority of our expenses, including most of our compensation expense, vary directly with changes in our revenues.</w:t>
      </w:r>
    </w:p>
    <w:p>
      <w:pPr>
        <w:spacing w:after="0" w:line="70" w:lineRule="exact"/>
        <w:rPr>
          <w:sz w:val="20"/>
          <w:szCs w:val="20"/>
          <w:color w:val="auto"/>
        </w:rPr>
      </w:pPr>
    </w:p>
    <w:p>
      <w:pPr>
        <w:jc w:val="both"/>
        <w:ind w:right="140"/>
        <w:spacing w:after="0" w:line="263" w:lineRule="auto"/>
        <w:rPr>
          <w:sz w:val="20"/>
          <w:szCs w:val="20"/>
          <w:color w:val="auto"/>
        </w:rPr>
      </w:pPr>
      <w:r>
        <w:rPr>
          <w:rFonts w:ascii="Times New Roman" w:cs="Times New Roman" w:eastAsia="Times New Roman" w:hAnsi="Times New Roman"/>
          <w:sz w:val="16"/>
          <w:szCs w:val="16"/>
          <w:color w:val="auto"/>
        </w:rPr>
        <w:t>We invest thoughtfully to support our investment teams and future growth, while also paying out to stockholders and partners a majority of the cash that we generate from operations through dividends and distributions. We expect to continue to invest in the growth of the business, with a focus on adding new investment capabilities and more degrees of freedom in areas where both opportunity and client demand exist, and in which we can differentiate our active management and add value for clients.</w:t>
      </w:r>
    </w:p>
    <w:p>
      <w:pPr>
        <w:spacing w:after="0" w:line="8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Financial highlights for the quarter included the following:</w:t>
      </w:r>
    </w:p>
    <w:p>
      <w:pPr>
        <w:spacing w:after="0" w:line="113" w:lineRule="exact"/>
        <w:rPr>
          <w:sz w:val="20"/>
          <w:szCs w:val="20"/>
          <w:color w:val="auto"/>
        </w:rPr>
      </w:pPr>
    </w:p>
    <w:p>
      <w:pPr>
        <w:ind w:left="660" w:right="220" w:hanging="328"/>
        <w:spacing w:after="0" w:line="276" w:lineRule="auto"/>
        <w:tabs>
          <w:tab w:leader="none" w:pos="649" w:val="left"/>
        </w:tabs>
        <w:numPr>
          <w:ilvl w:val="0"/>
          <w:numId w:val="1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During the three months ended March 31, 2026, our AUM declined to $173.0 billion, a decrease of $6.9 billion, or 4%, compared to $179.9 billion at December 31, 2025, primarily due to $4.6 billion of market depreciation, $3.1 billion of net client cash outflows and $0.1 billion of Artisan Funds’ distributions not reinvested, partially offset by the acquisition of $0.9 billion </w:t>
      </w:r>
      <w:r>
        <w:rPr>
          <w:rFonts w:ascii="Times New Roman" w:cs="Times New Roman" w:eastAsia="Times New Roman" w:hAnsi="Times New Roman"/>
          <w:sz w:val="17"/>
          <w:szCs w:val="17"/>
          <w:color w:val="auto"/>
        </w:rPr>
        <w:t>from</w:t>
      </w:r>
      <w:r>
        <w:rPr>
          <w:rFonts w:ascii="Times New Roman" w:cs="Times New Roman" w:eastAsia="Times New Roman" w:hAnsi="Times New Roman"/>
          <w:sz w:val="16"/>
          <w:szCs w:val="16"/>
          <w:color w:val="auto"/>
        </w:rPr>
        <w:t xml:space="preserve"> Grandview Property Partners.</w:t>
      </w:r>
    </w:p>
    <w:p>
      <w:pPr>
        <w:spacing w:after="0" w:line="67" w:lineRule="exact"/>
        <w:rPr>
          <w:rFonts w:ascii="Times New Roman" w:cs="Times New Roman" w:eastAsia="Times New Roman" w:hAnsi="Times New Roman"/>
          <w:sz w:val="16"/>
          <w:szCs w:val="16"/>
          <w:color w:val="auto"/>
        </w:rPr>
      </w:pPr>
    </w:p>
    <w:p>
      <w:pPr>
        <w:ind w:left="660" w:right="280" w:hanging="328"/>
        <w:spacing w:after="0" w:line="280" w:lineRule="auto"/>
        <w:tabs>
          <w:tab w:leader="none" w:pos="649" w:val="left"/>
        </w:tabs>
        <w:numPr>
          <w:ilvl w:val="0"/>
          <w:numId w:val="1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Average AUM for the three months ended March 31, 2026 was $182.4 billion, an increase of 1% from the average of $180.9 billion for the three months ended December 31, 2025, and an increase of 9% from the average of $166.7 billion for the three months ended March 31, 2025.</w:t>
      </w:r>
    </w:p>
    <w:p>
      <w:pPr>
        <w:spacing w:after="0" w:line="70" w:lineRule="exact"/>
        <w:rPr>
          <w:rFonts w:ascii="Times New Roman" w:cs="Times New Roman" w:eastAsia="Times New Roman" w:hAnsi="Times New Roman"/>
          <w:sz w:val="16"/>
          <w:szCs w:val="16"/>
          <w:color w:val="auto"/>
        </w:rPr>
      </w:pPr>
    </w:p>
    <w:p>
      <w:pPr>
        <w:ind w:left="660" w:right="200" w:hanging="328"/>
        <w:spacing w:after="0" w:line="280" w:lineRule="auto"/>
        <w:tabs>
          <w:tab w:leader="none" w:pos="649" w:val="left"/>
        </w:tabs>
        <w:numPr>
          <w:ilvl w:val="0"/>
          <w:numId w:val="1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We earned $303.0 million in revenue for the three months ended March 31, 2026, an increase of 9% from revenues of $277.1 million for the three months ended March 31, 2025.</w:t>
      </w:r>
    </w:p>
    <w:p>
      <w:pPr>
        <w:spacing w:after="0" w:line="70" w:lineRule="exact"/>
        <w:rPr>
          <w:rFonts w:ascii="Times New Roman" w:cs="Times New Roman" w:eastAsia="Times New Roman" w:hAnsi="Times New Roman"/>
          <w:sz w:val="16"/>
          <w:szCs w:val="16"/>
          <w:color w:val="auto"/>
        </w:rPr>
      </w:pPr>
    </w:p>
    <w:p>
      <w:pPr>
        <w:ind w:left="660" w:right="260" w:hanging="328"/>
        <w:spacing w:after="0" w:line="280" w:lineRule="auto"/>
        <w:tabs>
          <w:tab w:leader="none" w:pos="649" w:val="left"/>
        </w:tabs>
        <w:numPr>
          <w:ilvl w:val="0"/>
          <w:numId w:val="1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GAAP operating margin was 31.1% for the three months ended March 31, 2026, compared to 31.2% for the three months ended March 31, 2025. Adjusted operating margin was 31.1% for the three months ended March 31, 2026, compared to 32.1% for the three months ended March 31, 2025.</w:t>
      </w:r>
    </w:p>
    <w:p>
      <w:pPr>
        <w:spacing w:after="0" w:line="56" w:lineRule="exact"/>
        <w:rPr>
          <w:rFonts w:ascii="Times New Roman" w:cs="Times New Roman" w:eastAsia="Times New Roman" w:hAnsi="Times New Roman"/>
          <w:sz w:val="16"/>
          <w:szCs w:val="16"/>
          <w:color w:val="auto"/>
        </w:rPr>
      </w:pPr>
    </w:p>
    <w:p>
      <w:pPr>
        <w:ind w:left="640" w:hanging="308"/>
        <w:spacing w:after="0"/>
        <w:tabs>
          <w:tab w:leader="none" w:pos="640" w:val="left"/>
        </w:tabs>
        <w:numPr>
          <w:ilvl w:val="0"/>
          <w:numId w:val="1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We generated $0.76 of earnings per basic and diluted share and $0.87 of adjusted EPS.</w:t>
      </w:r>
    </w:p>
    <w:p>
      <w:pPr>
        <w:spacing w:after="0" w:line="126" w:lineRule="exact"/>
        <w:rPr>
          <w:rFonts w:ascii="Times New Roman" w:cs="Times New Roman" w:eastAsia="Times New Roman" w:hAnsi="Times New Roman"/>
          <w:sz w:val="16"/>
          <w:szCs w:val="16"/>
          <w:color w:val="auto"/>
        </w:rPr>
      </w:pPr>
    </w:p>
    <w:p>
      <w:pPr>
        <w:ind w:left="660" w:right="200" w:hanging="328"/>
        <w:spacing w:after="0" w:line="263" w:lineRule="auto"/>
        <w:tabs>
          <w:tab w:leader="none" w:pos="649" w:val="left"/>
        </w:tabs>
        <w:numPr>
          <w:ilvl w:val="0"/>
          <w:numId w:val="1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We acquired Grandview Property Partners for $22.5 million of upfront cash consideration with future consideration payable upon the achievement of committed capital milestones and certain revenue run rates for future Grandview Funds as well as the underlying performance of those funds over the seven-year period following the acquisition's closing date.</w:t>
      </w:r>
    </w:p>
    <w:p>
      <w:pPr>
        <w:spacing w:after="0" w:line="83" w:lineRule="exact"/>
        <w:rPr>
          <w:rFonts w:ascii="Times New Roman" w:cs="Times New Roman" w:eastAsia="Times New Roman" w:hAnsi="Times New Roman"/>
          <w:sz w:val="16"/>
          <w:szCs w:val="16"/>
          <w:color w:val="auto"/>
        </w:rPr>
      </w:pPr>
    </w:p>
    <w:p>
      <w:pPr>
        <w:ind w:left="640" w:hanging="308"/>
        <w:spacing w:after="0"/>
        <w:tabs>
          <w:tab w:leader="none" w:pos="640" w:val="left"/>
        </w:tabs>
        <w:numPr>
          <w:ilvl w:val="0"/>
          <w:numId w:val="1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We declared and distributed dividends of $1.58 per share of Class A common stock during the three months ended March 31, 2026.</w:t>
      </w:r>
    </w:p>
    <w:p>
      <w:pPr>
        <w:spacing w:after="0" w:line="113" w:lineRule="exact"/>
        <w:rPr>
          <w:rFonts w:ascii="Times New Roman" w:cs="Times New Roman" w:eastAsia="Times New Roman" w:hAnsi="Times New Roman"/>
          <w:sz w:val="16"/>
          <w:szCs w:val="16"/>
          <w:color w:val="auto"/>
        </w:rPr>
      </w:pPr>
    </w:p>
    <w:p>
      <w:pPr>
        <w:ind w:left="640" w:hanging="308"/>
        <w:spacing w:after="0"/>
        <w:tabs>
          <w:tab w:leader="none" w:pos="640" w:val="left"/>
        </w:tabs>
        <w:numPr>
          <w:ilvl w:val="0"/>
          <w:numId w:val="1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We declared, effective April 28, 2026, a quarterly dividend with respect to the three months ended March 31, 2026, of $0.77 per share of Class A 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Global markets and our AUM were volatile during the period. We reached record AUM near the end of February 2026 before declining to $173 billion at March 31, 2026.</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Preliminary AUM as of April 30, 2026, increased to approximately $183 billion reflecting global market movements.</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Organizational Structure</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Organizational Structure</w:t>
      </w:r>
    </w:p>
    <w:p>
      <w:pPr>
        <w:spacing w:after="0" w:line="129" w:lineRule="exact"/>
        <w:rPr>
          <w:sz w:val="20"/>
          <w:szCs w:val="20"/>
          <w:color w:val="auto"/>
        </w:rPr>
      </w:pPr>
    </w:p>
    <w:p>
      <w:pPr>
        <w:ind w:right="300"/>
        <w:spacing w:after="0" w:line="263" w:lineRule="auto"/>
        <w:rPr>
          <w:sz w:val="20"/>
          <w:szCs w:val="20"/>
          <w:color w:val="auto"/>
        </w:rPr>
      </w:pPr>
      <w:r>
        <w:rPr>
          <w:rFonts w:ascii="Times New Roman" w:cs="Times New Roman" w:eastAsia="Times New Roman" w:hAnsi="Times New Roman"/>
          <w:sz w:val="16"/>
          <w:szCs w:val="16"/>
          <w:color w:val="auto"/>
        </w:rPr>
        <w:t>Our operations are conducted through Artisan Partners Holdings LP (“Holdings”) and its subsidiaries. On March 12, 2013, Artisan Partners Asset Management Inc. (“APAM”) and Holdings completed a series of transactions (the “IPO Reorganization”) to reorganize their capital structures in connection with the initial public offering (“IPO”) of APAM’s Class A common stock. The IPO Reorganization and IPO were completed on March 12, 2013.</w:t>
      </w:r>
    </w:p>
    <w:p>
      <w:pPr>
        <w:spacing w:after="0" w:line="84" w:lineRule="exact"/>
        <w:rPr>
          <w:sz w:val="20"/>
          <w:szCs w:val="20"/>
          <w:color w:val="auto"/>
        </w:rPr>
      </w:pPr>
    </w:p>
    <w:p>
      <w:pPr>
        <w:ind w:right="620"/>
        <w:spacing w:after="0" w:line="280" w:lineRule="auto"/>
        <w:rPr>
          <w:sz w:val="20"/>
          <w:szCs w:val="20"/>
          <w:color w:val="auto"/>
        </w:rPr>
      </w:pPr>
      <w:r>
        <w:rPr>
          <w:rFonts w:ascii="Times New Roman" w:cs="Times New Roman" w:eastAsia="Times New Roman" w:hAnsi="Times New Roman"/>
          <w:sz w:val="16"/>
          <w:szCs w:val="16"/>
          <w:color w:val="auto"/>
        </w:rPr>
        <w:t>Limited partners of Holdings, some of whom are employees, held approximately 12% of the equity interests in Holdings as of March 31, 2026 which is reflected as noncontrolling interest.</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We operate our business in a single segment.</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Holdings Unit Exchanges</w:t>
      </w:r>
    </w:p>
    <w:p>
      <w:pPr>
        <w:spacing w:after="0" w:line="115" w:lineRule="exact"/>
        <w:rPr>
          <w:sz w:val="20"/>
          <w:szCs w:val="20"/>
          <w:color w:val="auto"/>
        </w:rPr>
      </w:pPr>
    </w:p>
    <w:p>
      <w:pPr>
        <w:jc w:val="both"/>
        <w:ind w:right="260"/>
        <w:spacing w:after="0" w:line="272" w:lineRule="auto"/>
        <w:rPr>
          <w:sz w:val="20"/>
          <w:szCs w:val="20"/>
          <w:color w:val="auto"/>
        </w:rPr>
      </w:pPr>
      <w:r>
        <w:rPr>
          <w:rFonts w:ascii="Times New Roman" w:cs="Times New Roman" w:eastAsia="Times New Roman" w:hAnsi="Times New Roman"/>
          <w:sz w:val="16"/>
          <w:szCs w:val="16"/>
          <w:color w:val="auto"/>
        </w:rPr>
        <w:t>During the three months ended March 31, 2026, certain limited partners of Holdings exchanged 160,114 common units (along with a corresponding number of shares of Class B or Class C common stock of APAM, as applicable) for 160,114 shares of Class A common stock. In connection with the exchanges, APAM received 160,114 GP units of Holdings increasing its ownership interest in Holdings.</w:t>
      </w:r>
    </w:p>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APAM’s equity ownership interest in Holdings was 88% and 87% at March 31, 2026 and December 31, 2025, respectively.</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Financial Overview</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Economic Environment</w:t>
      </w:r>
    </w:p>
    <w:p>
      <w:pPr>
        <w:spacing w:after="0" w:line="102" w:lineRule="exact"/>
        <w:rPr>
          <w:sz w:val="20"/>
          <w:szCs w:val="20"/>
          <w:color w:val="auto"/>
        </w:rPr>
      </w:pPr>
    </w:p>
    <w:p>
      <w:pPr>
        <w:ind w:right="80"/>
        <w:spacing w:after="0" w:line="280" w:lineRule="auto"/>
        <w:rPr>
          <w:sz w:val="20"/>
          <w:szCs w:val="20"/>
          <w:color w:val="auto"/>
        </w:rPr>
      </w:pPr>
      <w:r>
        <w:rPr>
          <w:rFonts w:ascii="Times New Roman" w:cs="Times New Roman" w:eastAsia="Times New Roman" w:hAnsi="Times New Roman"/>
          <w:sz w:val="16"/>
          <w:szCs w:val="16"/>
          <w:color w:val="auto"/>
        </w:rPr>
        <w:t>Global market conditions can materially impact our financial performance. Because the revenue we earn is based on the value of our AUM, fluctuations in our AUM due to changes in the economic environment and financial markets will result in corresponding fluctuations in our revenue and earnings.</w:t>
      </w:r>
    </w:p>
    <w:p>
      <w:pPr>
        <w:spacing w:after="0" w:line="5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following table presents the total returns of relevant market indices for the three months ended March 31, 2026 and 2025:</w:t>
      </w:r>
    </w:p>
    <w:p>
      <w:pPr>
        <w:spacing w:after="0" w:line="57" w:lineRule="exact"/>
        <w:rPr>
          <w:sz w:val="20"/>
          <w:szCs w:val="20"/>
          <w:color w:val="auto"/>
        </w:rPr>
      </w:pPr>
    </w:p>
    <w:p>
      <w:pPr>
        <w:ind w:left="8020"/>
        <w:spacing w:after="0"/>
        <w:rPr>
          <w:sz w:val="20"/>
          <w:szCs w:val="20"/>
          <w:color w:val="auto"/>
        </w:rPr>
      </w:pPr>
      <w:r>
        <w:rPr>
          <w:rFonts w:ascii="Times New Roman" w:cs="Times New Roman" w:eastAsia="Times New Roman" w:hAnsi="Times New Roman"/>
          <w:sz w:val="16"/>
          <w:szCs w:val="16"/>
          <w:b w:val="1"/>
          <w:bCs w:val="1"/>
          <w:color w:val="auto"/>
        </w:rPr>
        <w:t>For the Three Months Ended March 31,</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7580" w:type="dxa"/>
            <w:vAlign w:val="bottom"/>
            <w:tcBorders>
              <w:bottom w:val="single" w:sz="8" w:color="CCEEFF"/>
            </w:tcBorders>
          </w:tcPr>
          <w:p>
            <w:pPr>
              <w:spacing w:after="0"/>
              <w:rPr>
                <w:sz w:val="18"/>
                <w:szCs w:val="18"/>
                <w:color w:val="auto"/>
              </w:rPr>
            </w:pPr>
          </w:p>
        </w:tc>
        <w:tc>
          <w:tcPr>
            <w:tcW w:w="1140" w:type="dxa"/>
            <w:vAlign w:val="bottom"/>
            <w:tcBorders>
              <w:top w:val="single" w:sz="8" w:color="auto"/>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2026</w:t>
            </w:r>
          </w:p>
        </w:tc>
        <w:tc>
          <w:tcPr>
            <w:tcW w:w="620" w:type="dxa"/>
            <w:vAlign w:val="bottom"/>
            <w:tcBorders>
              <w:top w:val="single" w:sz="8" w:color="auto"/>
              <w:bottom w:val="single" w:sz="8" w:color="auto"/>
            </w:tcBorders>
          </w:tcPr>
          <w:p>
            <w:pPr>
              <w:spacing w:after="0"/>
              <w:rPr>
                <w:sz w:val="18"/>
                <w:szCs w:val="18"/>
                <w:color w:val="auto"/>
              </w:rPr>
            </w:pPr>
          </w:p>
        </w:tc>
        <w:tc>
          <w:tcPr>
            <w:tcW w:w="140" w:type="dxa"/>
            <w:vAlign w:val="bottom"/>
            <w:tcBorders>
              <w:top w:val="single" w:sz="8" w:color="auto"/>
              <w:bottom w:val="single" w:sz="8" w:color="CCEEFF"/>
            </w:tcBorders>
          </w:tcPr>
          <w:p>
            <w:pPr>
              <w:spacing w:after="0"/>
              <w:rPr>
                <w:sz w:val="18"/>
                <w:szCs w:val="18"/>
                <w:color w:val="auto"/>
              </w:rPr>
            </w:pPr>
          </w:p>
        </w:tc>
        <w:tc>
          <w:tcPr>
            <w:tcW w:w="1760" w:type="dxa"/>
            <w:vAlign w:val="bottom"/>
            <w:tcBorders>
              <w:top w:val="single" w:sz="8" w:color="auto"/>
              <w:bottom w:val="single" w:sz="8" w:color="auto"/>
            </w:tcBorders>
          </w:tcPr>
          <w:p>
            <w:pPr>
              <w:jc w:val="right"/>
              <w:ind w:right="631"/>
              <w:spacing w:after="0"/>
              <w:rPr>
                <w:sz w:val="20"/>
                <w:szCs w:val="20"/>
                <w:color w:val="auto"/>
              </w:rPr>
            </w:pPr>
            <w:r>
              <w:rPr>
                <w:rFonts w:ascii="Times New Roman" w:cs="Times New Roman" w:eastAsia="Times New Roman" w:hAnsi="Times New Roman"/>
                <w:sz w:val="16"/>
                <w:szCs w:val="16"/>
                <w:b w:val="1"/>
                <w:bCs w:val="1"/>
                <w:color w:val="auto"/>
              </w:rPr>
              <w:t>2025</w:t>
            </w:r>
          </w:p>
        </w:tc>
      </w:tr>
      <w:tr>
        <w:trPr>
          <w:trHeight w:val="225"/>
        </w:trPr>
        <w:tc>
          <w:tcPr>
            <w:tcW w:w="87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S&amp;P 500 Index</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14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w:t>
            </w:r>
          </w:p>
        </w:tc>
      </w:tr>
      <w:tr>
        <w:trPr>
          <w:trHeight w:val="230"/>
        </w:trPr>
        <w:tc>
          <w:tcPr>
            <w:tcW w:w="87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MSCI All Country World Index</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14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r>
      <w:tr>
        <w:trPr>
          <w:trHeight w:val="229"/>
        </w:trPr>
        <w:tc>
          <w:tcPr>
            <w:tcW w:w="87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MSCI EAFE Index</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4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6.9 %</w:t>
            </w:r>
          </w:p>
        </w:tc>
      </w:tr>
      <w:tr>
        <w:trPr>
          <w:trHeight w:val="230"/>
        </w:trPr>
        <w:tc>
          <w:tcPr>
            <w:tcW w:w="8720" w:type="dxa"/>
            <w:vAlign w:val="bottom"/>
            <w:gridSpan w:val="2"/>
          </w:tcPr>
          <w:p>
            <w:pPr>
              <w:ind w:left="20"/>
              <w:spacing w:after="0" w:line="230" w:lineRule="exact"/>
              <w:rPr>
                <w:sz w:val="20"/>
                <w:szCs w:val="20"/>
                <w:color w:val="auto"/>
              </w:rPr>
            </w:pPr>
            <w:r>
              <w:rPr>
                <w:rFonts w:ascii="Times New Roman" w:cs="Times New Roman" w:eastAsia="Times New Roman" w:hAnsi="Times New Roman"/>
                <w:sz w:val="16"/>
                <w:szCs w:val="16"/>
                <w:color w:val="auto"/>
              </w:rPr>
              <w:t>Russell</w:t>
            </w:r>
            <w:r>
              <w:rPr>
                <w:rFonts w:ascii="Times New Roman" w:cs="Times New Roman" w:eastAsia="Times New Roman" w:hAnsi="Times New Roman"/>
                <w:sz w:val="21"/>
                <w:szCs w:val="21"/>
                <w:color w:val="auto"/>
                <w:vertAlign w:val="superscript"/>
              </w:rPr>
              <w:t>®</w:t>
            </w:r>
            <w:r>
              <w:rPr>
                <w:rFonts w:ascii="Times New Roman" w:cs="Times New Roman" w:eastAsia="Times New Roman" w:hAnsi="Times New Roman"/>
                <w:sz w:val="16"/>
                <w:szCs w:val="16"/>
                <w:color w:val="auto"/>
              </w:rPr>
              <w:t xml:space="preserve"> Midcap Index</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1.3 %</w:t>
            </w:r>
          </w:p>
        </w:tc>
        <w:tc>
          <w:tcPr>
            <w:tcW w:w="14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r>
      <w:tr>
        <w:trPr>
          <w:trHeight w:val="230"/>
        </w:trPr>
        <w:tc>
          <w:tcPr>
            <w:tcW w:w="87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MSCI Emerging Markets Index</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4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2.9 %</w:t>
            </w:r>
          </w:p>
        </w:tc>
      </w:tr>
      <w:tr>
        <w:trPr>
          <w:trHeight w:val="234"/>
        </w:trPr>
        <w:tc>
          <w:tcPr>
            <w:tcW w:w="87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ICE BofA US High Yield Index</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140" w:type="dxa"/>
            <w:vAlign w:val="bottom"/>
          </w:tcPr>
          <w:p>
            <w:pPr>
              <w:spacing w:after="0"/>
              <w:rPr>
                <w:sz w:val="20"/>
                <w:szCs w:val="20"/>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0.9 %</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7400" w:type="dxa"/>
            <w:vAlign w:val="bottom"/>
          </w:tcPr>
          <w:p>
            <w:pPr>
              <w:spacing w:after="0"/>
              <w:rPr>
                <w:sz w:val="20"/>
                <w:szCs w:val="20"/>
                <w:color w:val="auto"/>
              </w:rPr>
            </w:pPr>
            <w:r>
              <w:rPr>
                <w:rFonts w:ascii="Times New Roman" w:cs="Times New Roman" w:eastAsia="Times New Roman" w:hAnsi="Times New Roman"/>
                <w:sz w:val="16"/>
                <w:szCs w:val="16"/>
                <w:b w:val="1"/>
                <w:bCs w:val="1"/>
                <w:i w:val="1"/>
                <w:iCs w:val="1"/>
                <w:color w:val="auto"/>
              </w:rPr>
              <w:t>Key Performance Indicators</w:t>
            </w:r>
          </w:p>
        </w:tc>
        <w:tc>
          <w:tcPr>
            <w:tcW w:w="32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20" w:type="dxa"/>
            <w:vAlign w:val="bottom"/>
          </w:tcPr>
          <w:p>
            <w:pPr>
              <w:spacing w:after="0"/>
              <w:rPr>
                <w:sz w:val="18"/>
                <w:szCs w:val="18"/>
                <w:color w:val="auto"/>
              </w:rPr>
            </w:pPr>
          </w:p>
        </w:tc>
      </w:tr>
      <w:tr>
        <w:trPr>
          <w:trHeight w:val="297"/>
        </w:trPr>
        <w:tc>
          <w:tcPr>
            <w:tcW w:w="7400" w:type="dxa"/>
            <w:vAlign w:val="bottom"/>
          </w:tcPr>
          <w:p>
            <w:pPr>
              <w:spacing w:after="0"/>
              <w:rPr>
                <w:sz w:val="20"/>
                <w:szCs w:val="20"/>
                <w:color w:val="auto"/>
              </w:rPr>
            </w:pPr>
            <w:r>
              <w:rPr>
                <w:rFonts w:ascii="Times New Roman" w:cs="Times New Roman" w:eastAsia="Times New Roman" w:hAnsi="Times New Roman"/>
                <w:sz w:val="16"/>
                <w:szCs w:val="16"/>
                <w:color w:val="auto"/>
              </w:rPr>
              <w:t>When we review our business and financial performance we consider, among other things, the following:</w:t>
            </w:r>
          </w:p>
        </w:tc>
        <w:tc>
          <w:tcPr>
            <w:tcW w:w="32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20" w:type="dxa"/>
            <w:vAlign w:val="bottom"/>
          </w:tcPr>
          <w:p>
            <w:pPr>
              <w:spacing w:after="0"/>
              <w:rPr>
                <w:sz w:val="24"/>
                <w:szCs w:val="24"/>
                <w:color w:val="auto"/>
              </w:rPr>
            </w:pPr>
          </w:p>
        </w:tc>
      </w:tr>
      <w:tr>
        <w:trPr>
          <w:trHeight w:val="246"/>
        </w:trPr>
        <w:tc>
          <w:tcPr>
            <w:tcW w:w="740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3520" w:type="dxa"/>
            <w:vAlign w:val="bottom"/>
            <w:tcBorders>
              <w:bottom w:val="single" w:sz="8" w:color="auto"/>
            </w:tcBorders>
            <w:gridSpan w:val="4"/>
          </w:tcPr>
          <w:p>
            <w:pPr>
              <w:jc w:val="right"/>
              <w:ind w:right="459"/>
              <w:spacing w:after="0"/>
              <w:rPr>
                <w:sz w:val="20"/>
                <w:szCs w:val="20"/>
                <w:color w:val="auto"/>
              </w:rPr>
            </w:pPr>
            <w:r>
              <w:rPr>
                <w:rFonts w:ascii="Times New Roman" w:cs="Times New Roman" w:eastAsia="Times New Roman" w:hAnsi="Times New Roman"/>
                <w:sz w:val="16"/>
                <w:szCs w:val="16"/>
                <w:b w:val="1"/>
                <w:bCs w:val="1"/>
                <w:color w:val="auto"/>
              </w:rPr>
              <w:t>For the Three Months Ended March 31,</w:t>
            </w:r>
          </w:p>
        </w:tc>
      </w:tr>
      <w:tr>
        <w:trPr>
          <w:trHeight w:val="211"/>
        </w:trPr>
        <w:tc>
          <w:tcPr>
            <w:tcW w:w="74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jc w:val="right"/>
              <w:ind w:right="699"/>
              <w:spacing w:after="0"/>
              <w:rPr>
                <w:sz w:val="20"/>
                <w:szCs w:val="20"/>
                <w:color w:val="auto"/>
              </w:rPr>
            </w:pPr>
            <w:r>
              <w:rPr>
                <w:rFonts w:ascii="Times New Roman" w:cs="Times New Roman" w:eastAsia="Times New Roman" w:hAnsi="Times New Roman"/>
                <w:sz w:val="16"/>
                <w:szCs w:val="16"/>
                <w:b w:val="1"/>
                <w:bCs w:val="1"/>
                <w:color w:val="auto"/>
              </w:rPr>
              <w:t>2026</w:t>
            </w:r>
          </w:p>
        </w:tc>
        <w:tc>
          <w:tcPr>
            <w:tcW w:w="120" w:type="dxa"/>
            <w:vAlign w:val="bottom"/>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ind w:right="679"/>
              <w:spacing w:after="0"/>
              <w:rPr>
                <w:sz w:val="20"/>
                <w:szCs w:val="20"/>
                <w:color w:val="auto"/>
              </w:rPr>
            </w:pPr>
            <w:r>
              <w:rPr>
                <w:rFonts w:ascii="Times New Roman" w:cs="Times New Roman" w:eastAsia="Times New Roman" w:hAnsi="Times New Roman"/>
                <w:sz w:val="16"/>
                <w:szCs w:val="16"/>
                <w:b w:val="1"/>
                <w:bCs w:val="1"/>
                <w:color w:val="auto"/>
              </w:rPr>
              <w:t>2025</w:t>
            </w:r>
          </w:p>
        </w:tc>
      </w:tr>
      <w:tr>
        <w:trPr>
          <w:trHeight w:val="249"/>
        </w:trPr>
        <w:tc>
          <w:tcPr>
            <w:tcW w:w="74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3520" w:type="dxa"/>
            <w:vAlign w:val="bottom"/>
            <w:gridSpan w:val="4"/>
          </w:tcPr>
          <w:p>
            <w:pPr>
              <w:jc w:val="right"/>
              <w:ind w:right="839"/>
              <w:spacing w:after="0"/>
              <w:rPr>
                <w:sz w:val="20"/>
                <w:szCs w:val="20"/>
                <w:color w:val="auto"/>
              </w:rPr>
            </w:pPr>
            <w:r>
              <w:rPr>
                <w:rFonts w:ascii="Times New Roman" w:cs="Times New Roman" w:eastAsia="Times New Roman" w:hAnsi="Times New Roman"/>
                <w:sz w:val="16"/>
                <w:szCs w:val="16"/>
                <w:color w:val="auto"/>
              </w:rPr>
              <w:t>(unaudited; dollars in millions)</w:t>
            </w:r>
          </w:p>
        </w:tc>
      </w:tr>
      <w:tr>
        <w:trPr>
          <w:trHeight w:val="219"/>
        </w:trPr>
        <w:tc>
          <w:tcPr>
            <w:tcW w:w="7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Assets under management at period end</w:t>
            </w:r>
          </w:p>
        </w:tc>
        <w:tc>
          <w:tcPr>
            <w:tcW w:w="32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540" w:type="dxa"/>
            <w:vAlign w:val="bottom"/>
            <w:shd w:val="clear" w:color="auto" w:fill="CCEEFF"/>
          </w:tcPr>
          <w:p>
            <w:pPr>
              <w:jc w:val="right"/>
              <w:ind w:right="239"/>
              <w:spacing w:after="0"/>
              <w:rPr>
                <w:sz w:val="20"/>
                <w:szCs w:val="20"/>
                <w:color w:val="auto"/>
              </w:rPr>
            </w:pPr>
            <w:r>
              <w:rPr>
                <w:rFonts w:ascii="Times New Roman" w:cs="Times New Roman" w:eastAsia="Times New Roman" w:hAnsi="Times New Roman"/>
                <w:sz w:val="16"/>
                <w:szCs w:val="16"/>
                <w:color w:val="auto"/>
              </w:rPr>
              <w:t>172,981</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59"/>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shd w:val="clear" w:color="auto" w:fill="CCEEFF"/>
          </w:tcPr>
          <w:p>
            <w:pPr>
              <w:jc w:val="right"/>
              <w:ind w:right="239"/>
              <w:spacing w:after="0"/>
              <w:rPr>
                <w:sz w:val="20"/>
                <w:szCs w:val="20"/>
                <w:color w:val="auto"/>
              </w:rPr>
            </w:pPr>
            <w:r>
              <w:rPr>
                <w:rFonts w:ascii="Times New Roman" w:cs="Times New Roman" w:eastAsia="Times New Roman" w:hAnsi="Times New Roman"/>
                <w:sz w:val="16"/>
                <w:szCs w:val="16"/>
                <w:color w:val="auto"/>
              </w:rPr>
              <w:t>162,390</w:t>
            </w:r>
          </w:p>
        </w:tc>
      </w:tr>
      <w:tr>
        <w:trPr>
          <w:trHeight w:val="216"/>
        </w:trPr>
        <w:tc>
          <w:tcPr>
            <w:tcW w:w="7400" w:type="dxa"/>
            <w:vAlign w:val="bottom"/>
          </w:tcPr>
          <w:p>
            <w:pPr>
              <w:ind w:left="20"/>
              <w:spacing w:after="0" w:line="216" w:lineRule="exact"/>
              <w:rPr>
                <w:sz w:val="20"/>
                <w:szCs w:val="20"/>
                <w:color w:val="auto"/>
              </w:rPr>
            </w:pPr>
            <w:r>
              <w:rPr>
                <w:rFonts w:ascii="Times New Roman" w:cs="Times New Roman" w:eastAsia="Times New Roman" w:hAnsi="Times New Roman"/>
                <w:sz w:val="16"/>
                <w:szCs w:val="16"/>
                <w:color w:val="auto"/>
              </w:rPr>
              <w:t xml:space="preserve">Average assets under management </w:t>
            </w:r>
            <w:r>
              <w:rPr>
                <w:rFonts w:ascii="Times New Roman" w:cs="Times New Roman" w:eastAsia="Times New Roman" w:hAnsi="Times New Roman"/>
                <w:sz w:val="21"/>
                <w:szCs w:val="21"/>
                <w:color w:val="auto"/>
                <w:vertAlign w:val="superscript"/>
              </w:rPr>
              <w:t>(1)</w:t>
            </w:r>
          </w:p>
        </w:tc>
        <w:tc>
          <w:tcPr>
            <w:tcW w:w="32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540" w:type="dxa"/>
            <w:vAlign w:val="bottom"/>
          </w:tcPr>
          <w:p>
            <w:pPr>
              <w:jc w:val="right"/>
              <w:ind w:right="239"/>
              <w:spacing w:after="0"/>
              <w:rPr>
                <w:sz w:val="20"/>
                <w:szCs w:val="20"/>
                <w:color w:val="auto"/>
              </w:rPr>
            </w:pPr>
            <w:r>
              <w:rPr>
                <w:rFonts w:ascii="Times New Roman" w:cs="Times New Roman" w:eastAsia="Times New Roman" w:hAnsi="Times New Roman"/>
                <w:sz w:val="16"/>
                <w:szCs w:val="16"/>
                <w:color w:val="auto"/>
              </w:rPr>
              <w:t>182,403</w:t>
            </w:r>
          </w:p>
        </w:tc>
        <w:tc>
          <w:tcPr>
            <w:tcW w:w="120" w:type="dxa"/>
            <w:vAlign w:val="bottom"/>
          </w:tcPr>
          <w:p>
            <w:pPr>
              <w:spacing w:after="0"/>
              <w:rPr>
                <w:sz w:val="18"/>
                <w:szCs w:val="18"/>
                <w:color w:val="auto"/>
              </w:rPr>
            </w:pPr>
          </w:p>
        </w:tc>
        <w:tc>
          <w:tcPr>
            <w:tcW w:w="440" w:type="dxa"/>
            <w:vAlign w:val="bottom"/>
          </w:tcPr>
          <w:p>
            <w:pPr>
              <w:jc w:val="right"/>
              <w:ind w:right="259"/>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tcPr>
          <w:p>
            <w:pPr>
              <w:jc w:val="right"/>
              <w:ind w:right="239"/>
              <w:spacing w:after="0"/>
              <w:rPr>
                <w:sz w:val="20"/>
                <w:szCs w:val="20"/>
                <w:color w:val="auto"/>
              </w:rPr>
            </w:pPr>
            <w:r>
              <w:rPr>
                <w:rFonts w:ascii="Times New Roman" w:cs="Times New Roman" w:eastAsia="Times New Roman" w:hAnsi="Times New Roman"/>
                <w:sz w:val="16"/>
                <w:szCs w:val="16"/>
                <w:color w:val="auto"/>
              </w:rPr>
              <w:t>166,743</w:t>
            </w:r>
          </w:p>
        </w:tc>
      </w:tr>
      <w:tr>
        <w:trPr>
          <w:trHeight w:val="216"/>
        </w:trPr>
        <w:tc>
          <w:tcPr>
            <w:tcW w:w="7400" w:type="dxa"/>
            <w:vAlign w:val="bottom"/>
            <w:shd w:val="clear" w:color="auto" w:fill="CCEEFF"/>
          </w:tcPr>
          <w:p>
            <w:pPr>
              <w:ind w:left="20"/>
              <w:spacing w:after="0" w:line="216" w:lineRule="exact"/>
              <w:rPr>
                <w:sz w:val="20"/>
                <w:szCs w:val="20"/>
                <w:color w:val="auto"/>
              </w:rPr>
            </w:pPr>
            <w:r>
              <w:rPr>
                <w:rFonts w:ascii="Times New Roman" w:cs="Times New Roman" w:eastAsia="Times New Roman" w:hAnsi="Times New Roman"/>
                <w:sz w:val="16"/>
                <w:szCs w:val="16"/>
                <w:color w:val="auto"/>
              </w:rPr>
              <w:t xml:space="preserve">Net client cash flows </w:t>
            </w:r>
            <w:r>
              <w:rPr>
                <w:rFonts w:ascii="Times New Roman" w:cs="Times New Roman" w:eastAsia="Times New Roman" w:hAnsi="Times New Roman"/>
                <w:sz w:val="21"/>
                <w:szCs w:val="21"/>
                <w:color w:val="auto"/>
                <w:vertAlign w:val="superscript"/>
              </w:rPr>
              <w:t>(2)</w:t>
            </w:r>
          </w:p>
        </w:tc>
        <w:tc>
          <w:tcPr>
            <w:tcW w:w="32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54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rPr>
              <w:t>(3,117)</w:t>
            </w: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jc w:val="right"/>
              <w:ind w:right="259"/>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rPr>
              <w:t>(2,840)</w:t>
            </w:r>
          </w:p>
        </w:tc>
      </w:tr>
      <w:tr>
        <w:trPr>
          <w:trHeight w:val="210"/>
        </w:trPr>
        <w:tc>
          <w:tcPr>
            <w:tcW w:w="74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 revenues</w:t>
            </w:r>
          </w:p>
        </w:tc>
        <w:tc>
          <w:tcPr>
            <w:tcW w:w="32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540" w:type="dxa"/>
            <w:vAlign w:val="bottom"/>
          </w:tcPr>
          <w:p>
            <w:pPr>
              <w:jc w:val="right"/>
              <w:ind w:right="239"/>
              <w:spacing w:after="0"/>
              <w:rPr>
                <w:sz w:val="20"/>
                <w:szCs w:val="20"/>
                <w:color w:val="auto"/>
              </w:rPr>
            </w:pPr>
            <w:r>
              <w:rPr>
                <w:rFonts w:ascii="Times New Roman" w:cs="Times New Roman" w:eastAsia="Times New Roman" w:hAnsi="Times New Roman"/>
                <w:sz w:val="16"/>
                <w:szCs w:val="16"/>
                <w:color w:val="auto"/>
              </w:rPr>
              <w:t>303.0</w:t>
            </w:r>
          </w:p>
        </w:tc>
        <w:tc>
          <w:tcPr>
            <w:tcW w:w="120" w:type="dxa"/>
            <w:vAlign w:val="bottom"/>
          </w:tcPr>
          <w:p>
            <w:pPr>
              <w:spacing w:after="0"/>
              <w:rPr>
                <w:sz w:val="18"/>
                <w:szCs w:val="18"/>
                <w:color w:val="auto"/>
              </w:rPr>
            </w:pPr>
          </w:p>
        </w:tc>
        <w:tc>
          <w:tcPr>
            <w:tcW w:w="440" w:type="dxa"/>
            <w:vAlign w:val="bottom"/>
          </w:tcPr>
          <w:p>
            <w:pPr>
              <w:jc w:val="right"/>
              <w:ind w:right="259"/>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tcPr>
          <w:p>
            <w:pPr>
              <w:jc w:val="right"/>
              <w:ind w:right="239"/>
              <w:spacing w:after="0"/>
              <w:rPr>
                <w:sz w:val="20"/>
                <w:szCs w:val="20"/>
                <w:color w:val="auto"/>
              </w:rPr>
            </w:pPr>
            <w:r>
              <w:rPr>
                <w:rFonts w:ascii="Times New Roman" w:cs="Times New Roman" w:eastAsia="Times New Roman" w:hAnsi="Times New Roman"/>
                <w:sz w:val="16"/>
                <w:szCs w:val="16"/>
                <w:color w:val="auto"/>
              </w:rPr>
              <w:t>277.1</w:t>
            </w: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5280" w:type="dxa"/>
            <w:vAlign w:val="bottom"/>
            <w:shd w:val="clear" w:color="auto" w:fill="CCEEFF"/>
          </w:tcPr>
          <w:p>
            <w:pPr>
              <w:ind w:left="20"/>
              <w:spacing w:after="0" w:line="222" w:lineRule="exact"/>
              <w:rPr>
                <w:sz w:val="20"/>
                <w:szCs w:val="20"/>
                <w:color w:val="auto"/>
              </w:rPr>
            </w:pPr>
            <w:r>
              <w:rPr>
                <w:rFonts w:ascii="Times New Roman" w:cs="Times New Roman" w:eastAsia="Times New Roman" w:hAnsi="Times New Roman"/>
                <w:sz w:val="16"/>
                <w:szCs w:val="16"/>
                <w:color w:val="auto"/>
              </w:rPr>
              <w:t xml:space="preserve">Weighted average fee </w:t>
            </w:r>
            <w:r>
              <w:rPr>
                <w:rFonts w:ascii="Times New Roman" w:cs="Times New Roman" w:eastAsia="Times New Roman" w:hAnsi="Times New Roman"/>
                <w:sz w:val="21"/>
                <w:szCs w:val="21"/>
                <w:color w:val="auto"/>
                <w:vertAlign w:val="superscript"/>
              </w:rPr>
              <w:t>(3)</w:t>
            </w:r>
          </w:p>
        </w:tc>
        <w:tc>
          <w:tcPr>
            <w:tcW w:w="3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67.4</w:t>
            </w:r>
          </w:p>
        </w:tc>
        <w:tc>
          <w:tcPr>
            <w:tcW w:w="960" w:type="dxa"/>
            <w:vAlign w:val="bottom"/>
            <w:shd w:val="clear" w:color="auto" w:fill="CCEEFF"/>
          </w:tcPr>
          <w:p>
            <w:pPr>
              <w:jc w:val="right"/>
              <w:ind w:right="619"/>
              <w:spacing w:after="0"/>
              <w:rPr>
                <w:sz w:val="20"/>
                <w:szCs w:val="20"/>
                <w:color w:val="auto"/>
              </w:rPr>
            </w:pPr>
            <w:r>
              <w:rPr>
                <w:rFonts w:ascii="Times New Roman" w:cs="Times New Roman" w:eastAsia="Times New Roman" w:hAnsi="Times New Roman"/>
                <w:sz w:val="16"/>
                <w:szCs w:val="16"/>
                <w:color w:val="auto"/>
              </w:rPr>
              <w:t>bps</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67.5</w:t>
            </w: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bps</w:t>
            </w:r>
          </w:p>
        </w:tc>
      </w:tr>
      <w:tr>
        <w:trPr>
          <w:trHeight w:val="213"/>
        </w:trPr>
        <w:tc>
          <w:tcPr>
            <w:tcW w:w="52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Operating margin</w:t>
            </w:r>
          </w:p>
        </w:tc>
        <w:tc>
          <w:tcPr>
            <w:tcW w:w="3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31.1</w:t>
            </w:r>
          </w:p>
        </w:tc>
        <w:tc>
          <w:tcPr>
            <w:tcW w:w="960" w:type="dxa"/>
            <w:vAlign w:val="bottom"/>
          </w:tcPr>
          <w:p>
            <w:pPr>
              <w:jc w:val="right"/>
              <w:ind w:right="619"/>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31.2</w:t>
            </w:r>
          </w:p>
        </w:tc>
        <w:tc>
          <w:tcPr>
            <w:tcW w:w="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9"/>
        </w:trPr>
        <w:tc>
          <w:tcPr>
            <w:tcW w:w="5280" w:type="dxa"/>
            <w:vAlign w:val="bottom"/>
            <w:shd w:val="clear" w:color="auto" w:fill="CCEEFF"/>
          </w:tcPr>
          <w:p>
            <w:pPr>
              <w:ind w:left="20"/>
              <w:spacing w:after="0" w:line="219" w:lineRule="exact"/>
              <w:rPr>
                <w:sz w:val="20"/>
                <w:szCs w:val="20"/>
                <w:color w:val="auto"/>
              </w:rPr>
            </w:pPr>
            <w:r>
              <w:rPr>
                <w:rFonts w:ascii="Times New Roman" w:cs="Times New Roman" w:eastAsia="Times New Roman" w:hAnsi="Times New Roman"/>
                <w:sz w:val="16"/>
                <w:szCs w:val="16"/>
                <w:color w:val="auto"/>
              </w:rPr>
              <w:t xml:space="preserve">Adjusted operating margin </w:t>
            </w:r>
            <w:r>
              <w:rPr>
                <w:rFonts w:ascii="Times New Roman" w:cs="Times New Roman" w:eastAsia="Times New Roman" w:hAnsi="Times New Roman"/>
                <w:sz w:val="21"/>
                <w:szCs w:val="21"/>
                <w:color w:val="auto"/>
                <w:vertAlign w:val="superscript"/>
              </w:rPr>
              <w:t>(4)</w:t>
            </w:r>
          </w:p>
        </w:tc>
        <w:tc>
          <w:tcPr>
            <w:tcW w:w="3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31.1</w:t>
            </w:r>
          </w:p>
        </w:tc>
        <w:tc>
          <w:tcPr>
            <w:tcW w:w="960" w:type="dxa"/>
            <w:vAlign w:val="bottom"/>
            <w:shd w:val="clear" w:color="auto" w:fill="CCEEFF"/>
          </w:tcPr>
          <w:p>
            <w:pPr>
              <w:jc w:val="right"/>
              <w:ind w:right="619"/>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32.1</w:t>
            </w: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bl>
    <w:p>
      <w:pPr>
        <w:spacing w:after="0" w:line="18" w:lineRule="exact"/>
        <w:rPr>
          <w:sz w:val="20"/>
          <w:szCs w:val="20"/>
          <w:color w:val="auto"/>
        </w:rPr>
      </w:pPr>
    </w:p>
    <w:p>
      <w:pPr>
        <w:ind w:left="160" w:hanging="134"/>
        <w:spacing w:after="0"/>
        <w:tabs>
          <w:tab w:leader="none" w:pos="160" w:val="left"/>
        </w:tabs>
        <w:numPr>
          <w:ilvl w:val="0"/>
          <w:numId w:val="17"/>
        </w:numPr>
        <w:rPr>
          <w:rFonts w:ascii="Times New Roman" w:cs="Times New Roman" w:eastAsia="Times New Roman" w:hAnsi="Times New Roman"/>
          <w:sz w:val="9"/>
          <w:szCs w:val="9"/>
          <w:color w:val="auto"/>
        </w:rPr>
      </w:pPr>
      <w:r>
        <w:rPr>
          <w:rFonts w:ascii="Times New Roman" w:cs="Times New Roman" w:eastAsia="Times New Roman" w:hAnsi="Times New Roman"/>
          <w:sz w:val="14"/>
          <w:szCs w:val="14"/>
          <w:color w:val="auto"/>
        </w:rPr>
        <w:t>We compute average AUM by averaging day-end AUM for the applicable period.</w:t>
      </w:r>
    </w:p>
    <w:p>
      <w:pPr>
        <w:spacing w:after="0" w:line="42" w:lineRule="exact"/>
        <w:rPr>
          <w:rFonts w:ascii="Times New Roman" w:cs="Times New Roman" w:eastAsia="Times New Roman" w:hAnsi="Times New Roman"/>
          <w:sz w:val="9"/>
          <w:szCs w:val="9"/>
          <w:color w:val="auto"/>
        </w:rPr>
      </w:pPr>
    </w:p>
    <w:p>
      <w:pPr>
        <w:ind w:left="180" w:hanging="154"/>
        <w:spacing w:after="0"/>
        <w:tabs>
          <w:tab w:leader="none" w:pos="180" w:val="left"/>
        </w:tabs>
        <w:numPr>
          <w:ilvl w:val="0"/>
          <w:numId w:val="17"/>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Net client cash flows excludes Artisan Funds</w:t>
      </w:r>
      <w:r>
        <w:rPr>
          <w:rFonts w:ascii="Times New Roman" w:cs="Times New Roman" w:eastAsia="Times New Roman" w:hAnsi="Times New Roman"/>
          <w:sz w:val="16"/>
          <w:szCs w:val="16"/>
          <w:color w:val="auto"/>
        </w:rPr>
        <w:t>’</w:t>
      </w:r>
      <w:r>
        <w:rPr>
          <w:rFonts w:ascii="Times New Roman" w:cs="Times New Roman" w:eastAsia="Times New Roman" w:hAnsi="Times New Roman"/>
          <w:sz w:val="14"/>
          <w:szCs w:val="14"/>
          <w:color w:val="auto"/>
        </w:rPr>
        <w:t xml:space="preserve"> income and capital gain distributions that were not reinvested by fund shareholders.</w:t>
      </w:r>
    </w:p>
    <w:p>
      <w:pPr>
        <w:spacing w:after="0" w:line="64" w:lineRule="exact"/>
        <w:rPr>
          <w:rFonts w:ascii="Times New Roman" w:cs="Times New Roman" w:eastAsia="Times New Roman" w:hAnsi="Times New Roman"/>
          <w:sz w:val="19"/>
          <w:szCs w:val="19"/>
          <w:color w:val="auto"/>
          <w:vertAlign w:val="superscript"/>
        </w:rPr>
      </w:pPr>
    </w:p>
    <w:p>
      <w:pPr>
        <w:ind w:left="20" w:right="80" w:firstLine="6"/>
        <w:spacing w:after="0" w:line="271" w:lineRule="auto"/>
        <w:tabs>
          <w:tab w:leader="none" w:pos="165" w:val="left"/>
        </w:tabs>
        <w:numPr>
          <w:ilvl w:val="0"/>
          <w:numId w:val="17"/>
        </w:numPr>
        <w:rPr>
          <w:rFonts w:ascii="Times New Roman" w:cs="Times New Roman" w:eastAsia="Times New Roman" w:hAnsi="Times New Roman"/>
          <w:sz w:val="9"/>
          <w:szCs w:val="9"/>
          <w:color w:val="auto"/>
        </w:rPr>
      </w:pPr>
      <w:r>
        <w:rPr>
          <w:rFonts w:ascii="Times New Roman" w:cs="Times New Roman" w:eastAsia="Times New Roman" w:hAnsi="Times New Roman"/>
          <w:sz w:val="14"/>
          <w:szCs w:val="14"/>
          <w:color w:val="auto"/>
        </w:rPr>
        <w:t>We compute our weighted average fee by dividing annualized investment advisory fees, including performance fees, by average AUM for the applicable period. AUM within our consolidated investment products, and investment advisory fees earned thereon, are excluded from our weighted average fee calculations and total revenues, since any such revenues are eliminated upon consolidation.</w:t>
      </w:r>
    </w:p>
    <w:p>
      <w:pPr>
        <w:spacing w:after="0" w:line="21" w:lineRule="exact"/>
        <w:rPr>
          <w:rFonts w:ascii="Times New Roman" w:cs="Times New Roman" w:eastAsia="Times New Roman" w:hAnsi="Times New Roman"/>
          <w:sz w:val="9"/>
          <w:szCs w:val="9"/>
          <w:color w:val="auto"/>
        </w:rPr>
      </w:pPr>
    </w:p>
    <w:p>
      <w:pPr>
        <w:ind w:left="180" w:hanging="154"/>
        <w:spacing w:after="0"/>
        <w:tabs>
          <w:tab w:leader="none" w:pos="180" w:val="left"/>
        </w:tabs>
        <w:numPr>
          <w:ilvl w:val="0"/>
          <w:numId w:val="17"/>
        </w:numPr>
        <w:rPr>
          <w:rFonts w:ascii="Times New Roman" w:cs="Times New Roman" w:eastAsia="Times New Roman" w:hAnsi="Times New Roman"/>
          <w:sz w:val="9"/>
          <w:szCs w:val="9"/>
          <w:color w:val="auto"/>
        </w:rPr>
      </w:pPr>
      <w:r>
        <w:rPr>
          <w:rFonts w:ascii="Times New Roman" w:cs="Times New Roman" w:eastAsia="Times New Roman" w:hAnsi="Times New Roman"/>
          <w:sz w:val="14"/>
          <w:szCs w:val="14"/>
          <w:color w:val="auto"/>
        </w:rPr>
        <w:t>Adjusted measures are non-GAAP measures and are explained and reconciled to the comparable GAAP measures in “Supplemental Non-GAAP Financial Information” below.</w:t>
      </w: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AUM and Investment Performance</w:t>
      </w:r>
    </w:p>
    <w:p>
      <w:pPr>
        <w:spacing w:after="0" w:line="131" w:lineRule="exact"/>
        <w:rPr>
          <w:sz w:val="20"/>
          <w:szCs w:val="20"/>
          <w:color w:val="auto"/>
        </w:rPr>
      </w:pPr>
    </w:p>
    <w:p>
      <w:pPr>
        <w:jc w:val="both"/>
        <w:ind w:right="140"/>
        <w:spacing w:after="0" w:line="272" w:lineRule="auto"/>
        <w:rPr>
          <w:sz w:val="20"/>
          <w:szCs w:val="20"/>
          <w:color w:val="auto"/>
        </w:rPr>
      </w:pPr>
      <w:r>
        <w:rPr>
          <w:rFonts w:ascii="Times New Roman" w:cs="Times New Roman" w:eastAsia="Times New Roman" w:hAnsi="Times New Roman"/>
          <w:sz w:val="16"/>
          <w:szCs w:val="16"/>
          <w:color w:val="auto"/>
        </w:rPr>
        <w:t>Changes to our operating results from one period to another are primarily caused by changes in the amount of our AUM. A key driver of changes in our AUM over time is the long-term investment performance of our investment strategies. Changes in the relative composition of our AUM among our investment strategies and vehicles and the effective fee rates on our products also impact our operating results.</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amount and composition of our AUM are, and will continue to be, influenced by a variety of factors including, among others:</w:t>
      </w:r>
    </w:p>
    <w:p>
      <w:pPr>
        <w:spacing w:after="0" w:line="113" w:lineRule="exact"/>
        <w:rPr>
          <w:sz w:val="20"/>
          <w:szCs w:val="20"/>
          <w:color w:val="auto"/>
        </w:rPr>
      </w:pPr>
    </w:p>
    <w:p>
      <w:pPr>
        <w:ind w:left="660" w:right="240" w:hanging="328"/>
        <w:spacing w:after="0" w:line="298" w:lineRule="auto"/>
        <w:tabs>
          <w:tab w:leader="none" w:pos="649" w:val="left"/>
        </w:tabs>
        <w:numPr>
          <w:ilvl w:val="0"/>
          <w:numId w:val="1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investment performance, including fluctuations in both the financial markets and foreign currency exchange rates and the quality of our investment decisions as assessed relative to applicable third-party benchmarks and peer groups, as appropriate;</w:t>
      </w:r>
    </w:p>
    <w:p>
      <w:pPr>
        <w:spacing w:after="0" w:line="42" w:lineRule="exact"/>
        <w:rPr>
          <w:rFonts w:ascii="Times New Roman" w:cs="Times New Roman" w:eastAsia="Times New Roman" w:hAnsi="Times New Roman"/>
          <w:sz w:val="16"/>
          <w:szCs w:val="16"/>
          <w:color w:val="auto"/>
        </w:rPr>
      </w:pPr>
    </w:p>
    <w:p>
      <w:pPr>
        <w:ind w:left="640" w:hanging="308"/>
        <w:spacing w:after="0"/>
        <w:tabs>
          <w:tab w:leader="none" w:pos="640" w:val="left"/>
        </w:tabs>
        <w:numPr>
          <w:ilvl w:val="0"/>
          <w:numId w:val="1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flows of client assets into and out of our various strategies and investment vehicles;</w:t>
      </w:r>
    </w:p>
    <w:p>
      <w:pPr>
        <w:spacing w:after="0" w:line="126" w:lineRule="exact"/>
        <w:rPr>
          <w:rFonts w:ascii="Times New Roman" w:cs="Times New Roman" w:eastAsia="Times New Roman" w:hAnsi="Times New Roman"/>
          <w:sz w:val="16"/>
          <w:szCs w:val="16"/>
          <w:color w:val="auto"/>
        </w:rPr>
      </w:pPr>
    </w:p>
    <w:p>
      <w:pPr>
        <w:ind w:left="660" w:right="40" w:hanging="328"/>
        <w:spacing w:after="0" w:line="280" w:lineRule="auto"/>
        <w:tabs>
          <w:tab w:leader="none" w:pos="649" w:val="left"/>
        </w:tabs>
        <w:numPr>
          <w:ilvl w:val="0"/>
          <w:numId w:val="1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decision to close strategies or limit the growth of assets in a strategy or a vehicle when we believe it is in the best interest of our clients, as well as our decision to re-open strategies, in part or entirely;</w:t>
      </w:r>
    </w:p>
    <w:p>
      <w:pPr>
        <w:spacing w:after="0" w:line="56" w:lineRule="exact"/>
        <w:rPr>
          <w:rFonts w:ascii="Times New Roman" w:cs="Times New Roman" w:eastAsia="Times New Roman" w:hAnsi="Times New Roman"/>
          <w:sz w:val="16"/>
          <w:szCs w:val="16"/>
          <w:color w:val="auto"/>
        </w:rPr>
      </w:pPr>
    </w:p>
    <w:p>
      <w:pPr>
        <w:ind w:left="640" w:hanging="308"/>
        <w:spacing w:after="0"/>
        <w:tabs>
          <w:tab w:leader="none" w:pos="640" w:val="left"/>
        </w:tabs>
        <w:numPr>
          <w:ilvl w:val="0"/>
          <w:numId w:val="1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ability to attract and retain qualified investment, management, and marketing and client service professionals;</w:t>
      </w:r>
    </w:p>
    <w:p>
      <w:pPr>
        <w:spacing w:after="0" w:line="126" w:lineRule="exact"/>
        <w:rPr>
          <w:rFonts w:ascii="Times New Roman" w:cs="Times New Roman" w:eastAsia="Times New Roman" w:hAnsi="Times New Roman"/>
          <w:sz w:val="16"/>
          <w:szCs w:val="16"/>
          <w:color w:val="auto"/>
        </w:rPr>
      </w:pPr>
    </w:p>
    <w:p>
      <w:pPr>
        <w:ind w:left="640" w:hanging="308"/>
        <w:spacing w:after="0"/>
        <w:tabs>
          <w:tab w:leader="none" w:pos="640" w:val="left"/>
        </w:tabs>
        <w:numPr>
          <w:ilvl w:val="0"/>
          <w:numId w:val="1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industry trends towards products, strategies, vehicles or services that we do not offer;</w:t>
      </w:r>
    </w:p>
    <w:p>
      <w:pPr>
        <w:spacing w:after="0" w:line="113" w:lineRule="exact"/>
        <w:rPr>
          <w:rFonts w:ascii="Times New Roman" w:cs="Times New Roman" w:eastAsia="Times New Roman" w:hAnsi="Times New Roman"/>
          <w:sz w:val="16"/>
          <w:szCs w:val="16"/>
          <w:color w:val="auto"/>
        </w:rPr>
      </w:pPr>
    </w:p>
    <w:p>
      <w:pPr>
        <w:ind w:left="640" w:hanging="308"/>
        <w:spacing w:after="0"/>
        <w:tabs>
          <w:tab w:leader="none" w:pos="640" w:val="left"/>
        </w:tabs>
        <w:numPr>
          <w:ilvl w:val="0"/>
          <w:numId w:val="1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competitive conditions in the investment management and broader financial services sectors; and</w:t>
      </w:r>
    </w:p>
    <w:p>
      <w:pPr>
        <w:spacing w:after="0" w:line="126" w:lineRule="exact"/>
        <w:rPr>
          <w:rFonts w:ascii="Times New Roman" w:cs="Times New Roman" w:eastAsia="Times New Roman" w:hAnsi="Times New Roman"/>
          <w:sz w:val="16"/>
          <w:szCs w:val="16"/>
          <w:color w:val="auto"/>
        </w:rPr>
      </w:pPr>
    </w:p>
    <w:p>
      <w:pPr>
        <w:ind w:left="640" w:hanging="308"/>
        <w:spacing w:after="0"/>
        <w:tabs>
          <w:tab w:leader="none" w:pos="640" w:val="left"/>
        </w:tabs>
        <w:numPr>
          <w:ilvl w:val="0"/>
          <w:numId w:val="1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investor sentiment and confidence.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680" w:type="dxa"/>
            <w:vAlign w:val="bottom"/>
          </w:tcPr>
          <w:p>
            <w:pPr>
              <w:spacing w:after="0"/>
              <w:rPr>
                <w:sz w:val="20"/>
                <w:szCs w:val="20"/>
                <w:color w:val="auto"/>
              </w:rPr>
            </w:pPr>
            <w:r>
              <w:rPr>
                <w:rFonts w:ascii="Times New Roman" w:cs="Times New Roman" w:eastAsia="Times New Roman" w:hAnsi="Times New Roman"/>
                <w:sz w:val="16"/>
                <w:szCs w:val="16"/>
                <w:color w:val="auto"/>
              </w:rPr>
              <w:t>The table below sets forth changes in our total AUM:</w:t>
            </w:r>
          </w:p>
        </w:tc>
        <w:tc>
          <w:tcPr>
            <w:tcW w:w="3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233"/>
        </w:trPr>
        <w:tc>
          <w:tcPr>
            <w:tcW w:w="5680" w:type="dxa"/>
            <w:vAlign w:val="bottom"/>
          </w:tcPr>
          <w:p>
            <w:pPr>
              <w:spacing w:after="0"/>
              <w:rPr>
                <w:sz w:val="20"/>
                <w:szCs w:val="20"/>
                <w:color w:val="auto"/>
              </w:rPr>
            </w:pPr>
          </w:p>
        </w:tc>
        <w:tc>
          <w:tcPr>
            <w:tcW w:w="3060" w:type="dxa"/>
            <w:vAlign w:val="bottom"/>
            <w:gridSpan w:val="6"/>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For the Three Months Ended March 31,</w:t>
            </w:r>
          </w:p>
        </w:tc>
        <w:tc>
          <w:tcPr>
            <w:tcW w:w="320" w:type="dxa"/>
            <w:vAlign w:val="bottom"/>
          </w:tcPr>
          <w:p>
            <w:pPr>
              <w:spacing w:after="0"/>
              <w:rPr>
                <w:sz w:val="20"/>
                <w:szCs w:val="20"/>
                <w:color w:val="auto"/>
              </w:rPr>
            </w:pPr>
          </w:p>
        </w:tc>
        <w:tc>
          <w:tcPr>
            <w:tcW w:w="2180" w:type="dxa"/>
            <w:vAlign w:val="bottom"/>
            <w:gridSpan w:val="3"/>
          </w:tcPr>
          <w:p>
            <w:pPr>
              <w:jc w:val="right"/>
              <w:ind w:right="579"/>
              <w:spacing w:after="0"/>
              <w:rPr>
                <w:sz w:val="20"/>
                <w:szCs w:val="20"/>
                <w:color w:val="auto"/>
              </w:rPr>
            </w:pPr>
            <w:r>
              <w:rPr>
                <w:rFonts w:ascii="Times New Roman" w:cs="Times New Roman" w:eastAsia="Times New Roman" w:hAnsi="Times New Roman"/>
                <w:sz w:val="16"/>
                <w:szCs w:val="16"/>
                <w:b w:val="1"/>
                <w:bCs w:val="1"/>
                <w:color w:val="auto"/>
              </w:rPr>
              <w:t>Period-to-Period</w:t>
            </w:r>
          </w:p>
        </w:tc>
      </w:tr>
      <w:tr>
        <w:trPr>
          <w:trHeight w:val="211"/>
        </w:trPr>
        <w:tc>
          <w:tcPr>
            <w:tcW w:w="5680" w:type="dxa"/>
            <w:vAlign w:val="bottom"/>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080" w:type="dxa"/>
            <w:vAlign w:val="bottom"/>
            <w:tcBorders>
              <w:top w:val="single" w:sz="8" w:color="auto"/>
              <w:bottom w:val="single" w:sz="8" w:color="auto"/>
            </w:tcBorders>
          </w:tcPr>
          <w:p>
            <w:pPr>
              <w:jc w:val="right"/>
              <w:ind w:right="459"/>
              <w:spacing w:after="0"/>
              <w:rPr>
                <w:sz w:val="20"/>
                <w:szCs w:val="20"/>
                <w:color w:val="auto"/>
              </w:rPr>
            </w:pPr>
            <w:r>
              <w:rPr>
                <w:rFonts w:ascii="Times New Roman" w:cs="Times New Roman" w:eastAsia="Times New Roman" w:hAnsi="Times New Roman"/>
                <w:sz w:val="16"/>
                <w:szCs w:val="16"/>
                <w:b w:val="1"/>
                <w:bCs w:val="1"/>
                <w:color w:val="auto"/>
              </w:rPr>
              <w:t>2026</w:t>
            </w:r>
          </w:p>
        </w:tc>
        <w:tc>
          <w:tcPr>
            <w:tcW w:w="120" w:type="dxa"/>
            <w:vAlign w:val="bottom"/>
            <w:tcBorders>
              <w:top w:val="single" w:sz="8" w:color="auto"/>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ind w:right="459"/>
              <w:spacing w:after="0"/>
              <w:rPr>
                <w:sz w:val="20"/>
                <w:szCs w:val="20"/>
                <w:color w:val="auto"/>
              </w:rPr>
            </w:pPr>
            <w:r>
              <w:rPr>
                <w:rFonts w:ascii="Times New Roman" w:cs="Times New Roman" w:eastAsia="Times New Roman" w:hAnsi="Times New Roman"/>
                <w:sz w:val="16"/>
                <w:szCs w:val="16"/>
                <w:b w:val="1"/>
                <w:bCs w:val="1"/>
                <w:color w:val="auto"/>
              </w:rPr>
              <w:t>2025</w:t>
            </w:r>
          </w:p>
        </w:tc>
        <w:tc>
          <w:tcPr>
            <w:tcW w:w="120" w:type="dxa"/>
            <w:vAlign w:val="bottom"/>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jc w:val="right"/>
              <w:ind w:right="439"/>
              <w:spacing w:after="0"/>
              <w:rPr>
                <w:sz w:val="20"/>
                <w:szCs w:val="20"/>
                <w:color w:val="auto"/>
              </w:rPr>
            </w:pPr>
            <w:r>
              <w:rPr>
                <w:rFonts w:ascii="Times New Roman" w:cs="Times New Roman" w:eastAsia="Times New Roman" w:hAnsi="Times New Roman"/>
                <w:sz w:val="16"/>
                <w:szCs w:val="16"/>
                <w:b w:val="1"/>
                <w:bCs w:val="1"/>
                <w:color w:val="auto"/>
              </w:rPr>
              <w:t>$</w:t>
            </w:r>
          </w:p>
        </w:tc>
        <w:tc>
          <w:tcPr>
            <w:tcW w:w="120" w:type="dxa"/>
            <w:vAlign w:val="bottom"/>
            <w:tcBorders>
              <w:top w:val="single" w:sz="8" w:color="auto"/>
            </w:tcBorders>
          </w:tcPr>
          <w:p>
            <w:pPr>
              <w:spacing w:after="0"/>
              <w:rPr>
                <w:sz w:val="18"/>
                <w:szCs w:val="18"/>
                <w:color w:val="auto"/>
              </w:rPr>
            </w:pPr>
          </w:p>
        </w:tc>
        <w:tc>
          <w:tcPr>
            <w:tcW w:w="1260" w:type="dxa"/>
            <w:vAlign w:val="bottom"/>
            <w:tcBorders>
              <w:top w:val="single" w:sz="8" w:color="auto"/>
              <w:bottom w:val="single" w:sz="8" w:color="auto"/>
            </w:tcBorders>
          </w:tcPr>
          <w:p>
            <w:pPr>
              <w:jc w:val="right"/>
              <w:ind w:right="459"/>
              <w:spacing w:after="0"/>
              <w:rPr>
                <w:sz w:val="20"/>
                <w:szCs w:val="20"/>
                <w:color w:val="auto"/>
              </w:rPr>
            </w:pPr>
            <w:r>
              <w:rPr>
                <w:rFonts w:ascii="Times New Roman" w:cs="Times New Roman" w:eastAsia="Times New Roman" w:hAnsi="Times New Roman"/>
                <w:sz w:val="16"/>
                <w:szCs w:val="16"/>
                <w:b w:val="1"/>
                <w:bCs w:val="1"/>
                <w:color w:val="auto"/>
              </w:rPr>
              <w:t>%</w:t>
            </w:r>
          </w:p>
        </w:tc>
      </w:tr>
      <w:tr>
        <w:trPr>
          <w:trHeight w:val="249"/>
        </w:trPr>
        <w:tc>
          <w:tcPr>
            <w:tcW w:w="56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740" w:type="dxa"/>
            <w:vAlign w:val="bottom"/>
            <w:gridSpan w:val="5"/>
          </w:tcPr>
          <w:p>
            <w:pPr>
              <w:jc w:val="center"/>
              <w:ind w:right="440"/>
              <w:spacing w:after="0"/>
              <w:rPr>
                <w:sz w:val="20"/>
                <w:szCs w:val="20"/>
                <w:color w:val="auto"/>
              </w:rPr>
            </w:pPr>
            <w:r>
              <w:rPr>
                <w:rFonts w:ascii="Times New Roman" w:cs="Times New Roman" w:eastAsia="Times New Roman" w:hAnsi="Times New Roman"/>
                <w:sz w:val="16"/>
                <w:szCs w:val="16"/>
                <w:color w:val="auto"/>
              </w:rPr>
              <w:t>(unaudited; in millions)</w:t>
            </w:r>
          </w:p>
        </w:tc>
        <w:tc>
          <w:tcPr>
            <w:tcW w:w="3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60" w:type="dxa"/>
            <w:vAlign w:val="bottom"/>
          </w:tcPr>
          <w:p>
            <w:pPr>
              <w:spacing w:after="0"/>
              <w:rPr>
                <w:sz w:val="21"/>
                <w:szCs w:val="21"/>
                <w:color w:val="auto"/>
              </w:rPr>
            </w:pPr>
          </w:p>
        </w:tc>
      </w:tr>
      <w:tr>
        <w:trPr>
          <w:trHeight w:val="219"/>
        </w:trPr>
        <w:tc>
          <w:tcPr>
            <w:tcW w:w="5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Beginning assets under management</w:t>
            </w:r>
          </w:p>
        </w:tc>
        <w:tc>
          <w:tcPr>
            <w:tcW w:w="32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179,928</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161,208</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18,720</w:t>
            </w:r>
          </w:p>
        </w:tc>
        <w:tc>
          <w:tcPr>
            <w:tcW w:w="1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11.6 %</w:t>
            </w:r>
          </w:p>
        </w:tc>
      </w:tr>
      <w:tr>
        <w:trPr>
          <w:trHeight w:val="213"/>
        </w:trPr>
        <w:tc>
          <w:tcPr>
            <w:tcW w:w="568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Gross client cash inflows</w:t>
            </w:r>
          </w:p>
        </w:tc>
        <w:tc>
          <w:tcPr>
            <w:tcW w:w="3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9,188</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7,014</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2,174</w:t>
            </w:r>
          </w:p>
        </w:tc>
        <w:tc>
          <w:tcPr>
            <w:tcW w:w="1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31.0 %</w:t>
            </w:r>
          </w:p>
        </w:tc>
      </w:tr>
      <w:tr>
        <w:trPr>
          <w:trHeight w:val="219"/>
        </w:trPr>
        <w:tc>
          <w:tcPr>
            <w:tcW w:w="56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Gross client cash outflows</w:t>
            </w:r>
          </w:p>
        </w:tc>
        <w:tc>
          <w:tcPr>
            <w:tcW w:w="3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(12,305)</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(9,854)</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(2,451)</w:t>
            </w:r>
          </w:p>
        </w:tc>
        <w:tc>
          <w:tcPr>
            <w:tcW w:w="120" w:type="dxa"/>
            <w:vAlign w:val="bottom"/>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(24.9)%</w:t>
            </w:r>
          </w:p>
        </w:tc>
      </w:tr>
      <w:tr>
        <w:trPr>
          <w:trHeight w:val="207"/>
        </w:trPr>
        <w:tc>
          <w:tcPr>
            <w:tcW w:w="56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client cash flows</w:t>
            </w:r>
          </w:p>
        </w:tc>
        <w:tc>
          <w:tcPr>
            <w:tcW w:w="32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(3,117)</w:t>
            </w: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(2,840)</w:t>
            </w: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(277)</w:t>
            </w:r>
          </w:p>
        </w:tc>
        <w:tc>
          <w:tcPr>
            <w:tcW w:w="12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(9.8)%</w:t>
            </w:r>
          </w:p>
        </w:tc>
      </w:tr>
      <w:tr>
        <w:trPr>
          <w:trHeight w:val="219"/>
        </w:trPr>
        <w:tc>
          <w:tcPr>
            <w:tcW w:w="5680" w:type="dxa"/>
            <w:vAlign w:val="bottom"/>
            <w:shd w:val="clear" w:color="auto" w:fill="CCEEFF"/>
          </w:tcPr>
          <w:p>
            <w:pPr>
              <w:ind w:left="20"/>
              <w:spacing w:after="0" w:line="219" w:lineRule="exact"/>
              <w:rPr>
                <w:sz w:val="20"/>
                <w:szCs w:val="20"/>
                <w:color w:val="auto"/>
              </w:rPr>
            </w:pPr>
            <w:r>
              <w:rPr>
                <w:rFonts w:ascii="Times New Roman" w:cs="Times New Roman" w:eastAsia="Times New Roman" w:hAnsi="Times New Roman"/>
                <w:sz w:val="16"/>
                <w:szCs w:val="16"/>
                <w:color w:val="auto"/>
              </w:rPr>
              <w:t xml:space="preserve">Acquisitions </w:t>
            </w:r>
            <w:r>
              <w:rPr>
                <w:rFonts w:ascii="Times New Roman" w:cs="Times New Roman" w:eastAsia="Times New Roman" w:hAnsi="Times New Roman"/>
                <w:sz w:val="21"/>
                <w:szCs w:val="21"/>
                <w:color w:val="auto"/>
                <w:vertAlign w:val="superscript"/>
              </w:rPr>
              <w:t>(1)</w:t>
            </w: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880</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880</w:t>
            </w:r>
          </w:p>
        </w:tc>
        <w:tc>
          <w:tcPr>
            <w:tcW w:w="1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N/M</w:t>
            </w:r>
          </w:p>
        </w:tc>
      </w:tr>
      <w:tr>
        <w:trPr>
          <w:trHeight w:val="216"/>
        </w:trPr>
        <w:tc>
          <w:tcPr>
            <w:tcW w:w="5680" w:type="dxa"/>
            <w:vAlign w:val="bottom"/>
          </w:tcPr>
          <w:p>
            <w:pPr>
              <w:ind w:left="20"/>
              <w:spacing w:after="0" w:line="216" w:lineRule="exact"/>
              <w:rPr>
                <w:sz w:val="20"/>
                <w:szCs w:val="20"/>
                <w:color w:val="auto"/>
              </w:rPr>
            </w:pPr>
            <w:r>
              <w:rPr>
                <w:rFonts w:ascii="Times New Roman" w:cs="Times New Roman" w:eastAsia="Times New Roman" w:hAnsi="Times New Roman"/>
                <w:sz w:val="16"/>
                <w:szCs w:val="16"/>
                <w:color w:val="auto"/>
              </w:rPr>
              <w:t xml:space="preserve">Artisan Funds’ distributions not reinvested </w:t>
            </w:r>
            <w:r>
              <w:rPr>
                <w:rFonts w:ascii="Times New Roman" w:cs="Times New Roman" w:eastAsia="Times New Roman" w:hAnsi="Times New Roman"/>
                <w:sz w:val="21"/>
                <w:szCs w:val="21"/>
                <w:color w:val="auto"/>
                <w:vertAlign w:val="superscript"/>
              </w:rPr>
              <w:t>(2)</w:t>
            </w:r>
          </w:p>
        </w:tc>
        <w:tc>
          <w:tcPr>
            <w:tcW w:w="3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(134)</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(116)</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w:t>
            </w:r>
          </w:p>
        </w:tc>
        <w:tc>
          <w:tcPr>
            <w:tcW w:w="1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(15.5)%</w:t>
            </w:r>
          </w:p>
        </w:tc>
      </w:tr>
      <w:tr>
        <w:trPr>
          <w:trHeight w:val="216"/>
        </w:trPr>
        <w:tc>
          <w:tcPr>
            <w:tcW w:w="5680" w:type="dxa"/>
            <w:vAlign w:val="bottom"/>
            <w:shd w:val="clear" w:color="auto" w:fill="CCEEFF"/>
          </w:tcPr>
          <w:p>
            <w:pPr>
              <w:ind w:left="20"/>
              <w:spacing w:after="0" w:line="216" w:lineRule="exact"/>
              <w:rPr>
                <w:sz w:val="20"/>
                <w:szCs w:val="20"/>
                <w:color w:val="auto"/>
              </w:rPr>
            </w:pPr>
            <w:r>
              <w:rPr>
                <w:rFonts w:ascii="Times New Roman" w:cs="Times New Roman" w:eastAsia="Times New Roman" w:hAnsi="Times New Roman"/>
                <w:sz w:val="16"/>
                <w:szCs w:val="16"/>
                <w:color w:val="auto"/>
              </w:rPr>
              <w:t xml:space="preserve">Investment returns and other </w:t>
            </w:r>
            <w:r>
              <w:rPr>
                <w:rFonts w:ascii="Times New Roman" w:cs="Times New Roman" w:eastAsia="Times New Roman" w:hAnsi="Times New Roman"/>
                <w:sz w:val="21"/>
                <w:szCs w:val="21"/>
                <w:color w:val="auto"/>
                <w:vertAlign w:val="superscript"/>
              </w:rPr>
              <w:t>(3)</w:t>
            </w:r>
          </w:p>
        </w:tc>
        <w:tc>
          <w:tcPr>
            <w:tcW w:w="32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(4,576)</w:t>
            </w:r>
          </w:p>
        </w:tc>
        <w:tc>
          <w:tcPr>
            <w:tcW w:w="12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4,138</w:t>
            </w:r>
          </w:p>
        </w:tc>
        <w:tc>
          <w:tcPr>
            <w:tcW w:w="12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(8,714)</w:t>
            </w:r>
          </w:p>
        </w:tc>
        <w:tc>
          <w:tcPr>
            <w:tcW w:w="120" w:type="dxa"/>
            <w:vAlign w:val="bottom"/>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(210.6)%</w:t>
            </w:r>
          </w:p>
        </w:tc>
      </w:tr>
      <w:tr>
        <w:trPr>
          <w:trHeight w:val="207"/>
        </w:trPr>
        <w:tc>
          <w:tcPr>
            <w:tcW w:w="56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Ending assets under management</w:t>
            </w:r>
          </w:p>
        </w:tc>
        <w:tc>
          <w:tcPr>
            <w:tcW w:w="32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172,981</w:t>
            </w:r>
          </w:p>
        </w:tc>
        <w:tc>
          <w:tcPr>
            <w:tcW w:w="120" w:type="dxa"/>
            <w:vAlign w:val="bottom"/>
          </w:tcPr>
          <w:p>
            <w:pPr>
              <w:spacing w:after="0"/>
              <w:rPr>
                <w:sz w:val="17"/>
                <w:szCs w:val="17"/>
                <w:color w:val="auto"/>
              </w:rPr>
            </w:pPr>
          </w:p>
        </w:tc>
        <w:tc>
          <w:tcPr>
            <w:tcW w:w="32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162,390</w:t>
            </w:r>
          </w:p>
        </w:tc>
        <w:tc>
          <w:tcPr>
            <w:tcW w:w="120" w:type="dxa"/>
            <w:vAlign w:val="bottom"/>
          </w:tcPr>
          <w:p>
            <w:pPr>
              <w:spacing w:after="0"/>
              <w:rPr>
                <w:sz w:val="17"/>
                <w:szCs w:val="17"/>
                <w:color w:val="auto"/>
              </w:rPr>
            </w:pPr>
          </w:p>
        </w:tc>
        <w:tc>
          <w:tcPr>
            <w:tcW w:w="32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10,591</w:t>
            </w:r>
          </w:p>
        </w:tc>
        <w:tc>
          <w:tcPr>
            <w:tcW w:w="120" w:type="dxa"/>
            <w:vAlign w:val="bottom"/>
          </w:tcPr>
          <w:p>
            <w:pPr>
              <w:spacing w:after="0"/>
              <w:rPr>
                <w:sz w:val="17"/>
                <w:szCs w:val="17"/>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6.5 %</w:t>
            </w:r>
          </w:p>
        </w:tc>
      </w:tr>
      <w:tr>
        <w:trPr>
          <w:trHeight w:val="20"/>
        </w:trPr>
        <w:tc>
          <w:tcPr>
            <w:tcW w:w="568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r>
        <w:trPr>
          <w:trHeight w:val="235"/>
        </w:trPr>
        <w:tc>
          <w:tcPr>
            <w:tcW w:w="56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Average assets under management</w:t>
            </w:r>
          </w:p>
        </w:tc>
        <w:tc>
          <w:tcPr>
            <w:tcW w:w="320" w:type="dxa"/>
            <w:vAlign w:val="bottom"/>
            <w:tcBorders>
              <w:bottom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182,403</w:t>
            </w: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166,743</w:t>
            </w: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15,660</w:t>
            </w:r>
          </w:p>
        </w:tc>
        <w:tc>
          <w:tcPr>
            <w:tcW w:w="12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9.4 %</w:t>
            </w:r>
          </w:p>
        </w:tc>
      </w:tr>
      <w:tr>
        <w:trPr>
          <w:trHeight w:val="20"/>
        </w:trPr>
        <w:tc>
          <w:tcPr>
            <w:tcW w:w="56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r>
    </w:tbl>
    <w:p>
      <w:pPr>
        <w:spacing w:after="0" w:line="28" w:lineRule="exact"/>
        <w:rPr>
          <w:sz w:val="20"/>
          <w:szCs w:val="20"/>
          <w:color w:val="auto"/>
        </w:rPr>
      </w:pPr>
    </w:p>
    <w:p>
      <w:pPr>
        <w:ind w:left="180" w:hanging="154"/>
        <w:spacing w:after="0"/>
        <w:tabs>
          <w:tab w:leader="none" w:pos="180" w:val="left"/>
        </w:tabs>
        <w:numPr>
          <w:ilvl w:val="0"/>
          <w:numId w:val="19"/>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Represents assets acquired upon the closing of the Grandview Property Partners acquisition.</w:t>
      </w:r>
    </w:p>
    <w:p>
      <w:pPr>
        <w:spacing w:after="0" w:line="43" w:lineRule="exact"/>
        <w:rPr>
          <w:rFonts w:ascii="Times New Roman" w:cs="Times New Roman" w:eastAsia="Times New Roman" w:hAnsi="Times New Roman"/>
          <w:sz w:val="19"/>
          <w:szCs w:val="19"/>
          <w:color w:val="auto"/>
          <w:vertAlign w:val="superscript"/>
        </w:rPr>
      </w:pPr>
    </w:p>
    <w:p>
      <w:pPr>
        <w:ind w:left="180" w:hanging="154"/>
        <w:spacing w:after="0" w:line="229" w:lineRule="auto"/>
        <w:tabs>
          <w:tab w:leader="none" w:pos="180" w:val="left"/>
        </w:tabs>
        <w:numPr>
          <w:ilvl w:val="0"/>
          <w:numId w:val="19"/>
        </w:numPr>
        <w:rPr>
          <w:rFonts w:ascii="Times New Roman" w:cs="Times New Roman" w:eastAsia="Times New Roman" w:hAnsi="Times New Roman"/>
          <w:sz w:val="9"/>
          <w:szCs w:val="9"/>
          <w:color w:val="auto"/>
        </w:rPr>
      </w:pPr>
      <w:r>
        <w:rPr>
          <w:rFonts w:ascii="Times New Roman" w:cs="Times New Roman" w:eastAsia="Times New Roman" w:hAnsi="Times New Roman"/>
          <w:sz w:val="14"/>
          <w:szCs w:val="14"/>
          <w:color w:val="auto"/>
        </w:rPr>
        <w:t>Artisan Funds</w:t>
      </w:r>
      <w:r>
        <w:rPr>
          <w:rFonts w:ascii="Times New Roman" w:cs="Times New Roman" w:eastAsia="Times New Roman" w:hAnsi="Times New Roman"/>
          <w:sz w:val="16"/>
          <w:szCs w:val="16"/>
          <w:color w:val="auto"/>
        </w:rPr>
        <w:t>’</w:t>
      </w:r>
      <w:r>
        <w:rPr>
          <w:rFonts w:ascii="Times New Roman" w:cs="Times New Roman" w:eastAsia="Times New Roman" w:hAnsi="Times New Roman"/>
          <w:sz w:val="14"/>
          <w:szCs w:val="14"/>
          <w:color w:val="auto"/>
        </w:rPr>
        <w:t xml:space="preserve"> distributions not reinvested represents the amount of income and capital gain distributions that were not reinvested in the Artisan Funds.</w:t>
      </w:r>
    </w:p>
    <w:p>
      <w:pPr>
        <w:spacing w:after="0" w:line="21" w:lineRule="exact"/>
        <w:rPr>
          <w:rFonts w:ascii="Times New Roman" w:cs="Times New Roman" w:eastAsia="Times New Roman" w:hAnsi="Times New Roman"/>
          <w:sz w:val="9"/>
          <w:szCs w:val="9"/>
          <w:color w:val="auto"/>
        </w:rPr>
      </w:pPr>
    </w:p>
    <w:p>
      <w:pPr>
        <w:ind w:left="180" w:hanging="154"/>
        <w:spacing w:after="0"/>
        <w:tabs>
          <w:tab w:leader="none" w:pos="180" w:val="left"/>
        </w:tabs>
        <w:numPr>
          <w:ilvl w:val="0"/>
          <w:numId w:val="19"/>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Includes the impact of translating the value of AUM denominated in non-USD currencies into U.S. dollars. The impact was immaterial for the periods presented.</w:t>
      </w:r>
    </w:p>
    <w:p>
      <w:pPr>
        <w:spacing w:after="0" w:line="199" w:lineRule="exact"/>
        <w:rPr>
          <w:sz w:val="20"/>
          <w:szCs w:val="20"/>
          <w:color w:val="auto"/>
        </w:rPr>
      </w:pPr>
    </w:p>
    <w:p>
      <w:pPr>
        <w:ind w:right="180"/>
        <w:spacing w:after="0" w:line="263" w:lineRule="auto"/>
        <w:rPr>
          <w:sz w:val="20"/>
          <w:szCs w:val="20"/>
          <w:color w:val="auto"/>
        </w:rPr>
      </w:pPr>
      <w:r>
        <w:rPr>
          <w:rFonts w:ascii="Times New Roman" w:cs="Times New Roman" w:eastAsia="Times New Roman" w:hAnsi="Times New Roman"/>
          <w:sz w:val="16"/>
          <w:szCs w:val="16"/>
          <w:color w:val="auto"/>
        </w:rPr>
        <w:t>Our equity strategies experienced net outflows of $4.2 billion in the first quarter of 2026, while our credit and alternative asset classes generated combined net inflows of $1.1 billion. While net flows are inherently difficult to predict, if recent performance and market trends persist, we could continue to experience net outflows in our equity strategies and net inflows in our credit and alternative strategies throughout the remainder of 2026. Over the long term, we expect to generate the majority of our AUM growth through investment returns, which has been our historical experience.</w:t>
      </w:r>
    </w:p>
    <w:p>
      <w:pPr>
        <w:spacing w:after="0" w:line="85" w:lineRule="exact"/>
        <w:rPr>
          <w:sz w:val="20"/>
          <w:szCs w:val="20"/>
          <w:color w:val="auto"/>
        </w:rPr>
      </w:pPr>
    </w:p>
    <w:p>
      <w:pPr>
        <w:jc w:val="both"/>
        <w:ind w:right="120"/>
        <w:spacing w:after="0" w:line="259" w:lineRule="auto"/>
        <w:rPr>
          <w:sz w:val="20"/>
          <w:szCs w:val="20"/>
          <w:color w:val="auto"/>
        </w:rPr>
      </w:pPr>
      <w:r>
        <w:rPr>
          <w:rFonts w:ascii="Times New Roman" w:cs="Times New Roman" w:eastAsia="Times New Roman" w:hAnsi="Times New Roman"/>
          <w:sz w:val="16"/>
          <w:szCs w:val="16"/>
          <w:color w:val="auto"/>
        </w:rPr>
        <w:t>We monitor the availability of attractive investment opportunities relative to the amount of assets we manage in each of our investment strategies and the velocity at which the strategies are experiencing inflows. When appropriate, we will close a strategy to new investors or otherwise take action to slow or restrict its growth, even though our aggregate AUM may be negatively impacted in the short term. We may also re-open a strategy, widely or selectively, to fill available capacity or manage the diversification of our client base in that strategy. We believe that management of our investment capacity protects our ability to manage assets successfully, which protects the interests of our clients and, in the long term, protects our ability to retain client assets and maintain our profit margins.</w:t>
      </w:r>
    </w:p>
    <w:p>
      <w:pPr>
        <w:spacing w:after="0" w:line="87" w:lineRule="exact"/>
        <w:rPr>
          <w:sz w:val="20"/>
          <w:szCs w:val="20"/>
          <w:color w:val="auto"/>
        </w:rPr>
      </w:pPr>
    </w:p>
    <w:p>
      <w:pPr>
        <w:ind w:right="60"/>
        <w:spacing w:after="0" w:line="263" w:lineRule="auto"/>
        <w:rPr>
          <w:sz w:val="20"/>
          <w:szCs w:val="20"/>
          <w:color w:val="auto"/>
        </w:rPr>
      </w:pPr>
      <w:r>
        <w:rPr>
          <w:rFonts w:ascii="Times New Roman" w:cs="Times New Roman" w:eastAsia="Times New Roman" w:hAnsi="Times New Roman"/>
          <w:sz w:val="16"/>
          <w:szCs w:val="16"/>
          <w:color w:val="auto"/>
        </w:rPr>
        <w:t>When we close or otherwise restrict the growth of a strategy, we typically continue to allow additional investments in the strategy by existing clients and certain related entities. We may also permit new investments by other eligible investors in our discretion. As a result, during a given period we may have net client cash inflows in a closed strategy. However, when a strategy is closed or its growth is restricted we generally expect there to be periods of net client cash outflows.</w:t>
      </w:r>
    </w:p>
    <w:p>
      <w:pPr>
        <w:spacing w:after="0" w:line="84" w:lineRule="exact"/>
        <w:rPr>
          <w:sz w:val="20"/>
          <w:szCs w:val="20"/>
          <w:color w:val="auto"/>
        </w:rPr>
      </w:pPr>
    </w:p>
    <w:p>
      <w:pPr>
        <w:ind w:right="140"/>
        <w:spacing w:after="0" w:line="280" w:lineRule="auto"/>
        <w:rPr>
          <w:sz w:val="20"/>
          <w:szCs w:val="20"/>
          <w:color w:val="auto"/>
        </w:rPr>
      </w:pPr>
      <w:r>
        <w:rPr>
          <w:rFonts w:ascii="Times New Roman" w:cs="Times New Roman" w:eastAsia="Times New Roman" w:hAnsi="Times New Roman"/>
          <w:sz w:val="16"/>
          <w:szCs w:val="16"/>
          <w:color w:val="auto"/>
        </w:rPr>
        <w:t>The unaudited table on the following page sets forth the average annual total returns (gross of fees) for each composite and its respective benchmark (and style benchmark, if applicable) over a multi-horizon time period as of March 31, 2026. Returns for periods less than one year are not annualized.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620" w:type="dxa"/>
            <w:vAlign w:val="bottom"/>
          </w:tcPr>
          <w:p>
            <w:pPr>
              <w:spacing w:after="0"/>
              <w:rPr>
                <w:sz w:val="12"/>
                <w:szCs w:val="12"/>
                <w:color w:val="auto"/>
              </w:rPr>
            </w:pPr>
          </w:p>
        </w:tc>
        <w:tc>
          <w:tcPr>
            <w:tcW w:w="1000" w:type="dxa"/>
            <w:vAlign w:val="bottom"/>
            <w:vMerge w:val="restart"/>
          </w:tcPr>
          <w:p>
            <w:pPr>
              <w:jc w:val="center"/>
              <w:ind w:right="36"/>
              <w:spacing w:after="0"/>
              <w:rPr>
                <w:sz w:val="20"/>
                <w:szCs w:val="20"/>
                <w:color w:val="auto"/>
              </w:rPr>
            </w:pPr>
            <w:r>
              <w:rPr>
                <w:rFonts w:ascii="Times New Roman" w:cs="Times New Roman" w:eastAsia="Times New Roman" w:hAnsi="Times New Roman"/>
                <w:sz w:val="13"/>
                <w:szCs w:val="13"/>
                <w:b w:val="1"/>
                <w:bCs w:val="1"/>
                <w:color w:val="auto"/>
              </w:rPr>
              <w:t>Composite</w:t>
            </w:r>
          </w:p>
        </w:tc>
        <w:tc>
          <w:tcPr>
            <w:tcW w:w="1080" w:type="dxa"/>
            <w:vAlign w:val="bottom"/>
            <w:gridSpan w:val="2"/>
            <w:vMerge w:val="restart"/>
          </w:tcPr>
          <w:p>
            <w:pPr>
              <w:jc w:val="right"/>
              <w:ind w:right="73"/>
              <w:spacing w:after="0"/>
              <w:rPr>
                <w:sz w:val="20"/>
                <w:szCs w:val="20"/>
                <w:color w:val="auto"/>
              </w:rPr>
            </w:pPr>
            <w:r>
              <w:rPr>
                <w:rFonts w:ascii="Times New Roman" w:cs="Times New Roman" w:eastAsia="Times New Roman" w:hAnsi="Times New Roman"/>
                <w:sz w:val="13"/>
                <w:szCs w:val="13"/>
                <w:b w:val="1"/>
                <w:bCs w:val="1"/>
                <w:color w:val="auto"/>
              </w:rPr>
              <w:t>Strategy AUM</w:t>
            </w:r>
          </w:p>
        </w:tc>
        <w:tc>
          <w:tcPr>
            <w:tcW w:w="660" w:type="dxa"/>
            <w:vAlign w:val="bottom"/>
          </w:tcPr>
          <w:p>
            <w:pPr>
              <w:spacing w:after="0"/>
              <w:rPr>
                <w:sz w:val="12"/>
                <w:szCs w:val="12"/>
                <w:color w:val="auto"/>
              </w:rPr>
            </w:pPr>
          </w:p>
        </w:tc>
        <w:tc>
          <w:tcPr>
            <w:tcW w:w="254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3"/>
                <w:szCs w:val="13"/>
                <w:b w:val="1"/>
                <w:bCs w:val="1"/>
                <w:color w:val="auto"/>
              </w:rPr>
              <w:t>Average Annual Total Returns (Gross) (%)</w:t>
            </w:r>
          </w:p>
        </w:tc>
        <w:tc>
          <w:tcPr>
            <w:tcW w:w="920" w:type="dxa"/>
            <w:vAlign w:val="bottom"/>
            <w:vMerge w:val="restart"/>
          </w:tcPr>
          <w:p>
            <w:pPr>
              <w:jc w:val="right"/>
              <w:ind w:right="733"/>
              <w:spacing w:after="0"/>
              <w:rPr>
                <w:sz w:val="20"/>
                <w:szCs w:val="20"/>
                <w:color w:val="auto"/>
              </w:rPr>
            </w:pPr>
            <w:r>
              <w:rPr>
                <w:rFonts w:ascii="Times New Roman" w:cs="Times New Roman" w:eastAsia="Times New Roman" w:hAnsi="Times New Roman"/>
                <w:sz w:val="9"/>
                <w:szCs w:val="9"/>
                <w:b w:val="1"/>
                <w:bCs w:val="1"/>
                <w:color w:val="auto"/>
                <w:w w:val="94"/>
              </w:rPr>
              <w:t>(2)</w:t>
            </w:r>
          </w:p>
        </w:tc>
        <w:tc>
          <w:tcPr>
            <w:tcW w:w="1420" w:type="dxa"/>
            <w:vAlign w:val="bottom"/>
            <w:gridSpan w:val="2"/>
          </w:tcPr>
          <w:p>
            <w:pPr>
              <w:jc w:val="center"/>
              <w:spacing w:after="0"/>
              <w:rPr>
                <w:sz w:val="20"/>
                <w:szCs w:val="20"/>
                <w:color w:val="auto"/>
              </w:rPr>
            </w:pPr>
            <w:r>
              <w:rPr>
                <w:rFonts w:ascii="Times New Roman" w:cs="Times New Roman" w:eastAsia="Times New Roman" w:hAnsi="Times New Roman"/>
                <w:sz w:val="13"/>
                <w:szCs w:val="13"/>
                <w:b w:val="1"/>
                <w:bCs w:val="1"/>
                <w:color w:val="auto"/>
              </w:rPr>
              <w:t>Average Annual</w:t>
            </w:r>
          </w:p>
        </w:tc>
        <w:tc>
          <w:tcPr>
            <w:tcW w:w="0" w:type="dxa"/>
            <w:vAlign w:val="bottom"/>
          </w:tcPr>
          <w:p>
            <w:pPr>
              <w:spacing w:after="0"/>
              <w:rPr>
                <w:sz w:val="1"/>
                <w:szCs w:val="1"/>
                <w:color w:val="auto"/>
              </w:rPr>
            </w:pPr>
          </w:p>
        </w:tc>
      </w:tr>
      <w:tr>
        <w:trPr>
          <w:trHeight w:val="81"/>
        </w:trPr>
        <w:tc>
          <w:tcPr>
            <w:tcW w:w="3620" w:type="dxa"/>
            <w:vAlign w:val="bottom"/>
          </w:tcPr>
          <w:p>
            <w:pPr>
              <w:spacing w:after="0"/>
              <w:rPr>
                <w:sz w:val="7"/>
                <w:szCs w:val="7"/>
                <w:color w:val="auto"/>
              </w:rPr>
            </w:pPr>
          </w:p>
        </w:tc>
        <w:tc>
          <w:tcPr>
            <w:tcW w:w="1000" w:type="dxa"/>
            <w:vAlign w:val="bottom"/>
            <w:vMerge w:val="continue"/>
          </w:tcPr>
          <w:p>
            <w:pPr>
              <w:spacing w:after="0"/>
              <w:rPr>
                <w:sz w:val="7"/>
                <w:szCs w:val="7"/>
                <w:color w:val="auto"/>
              </w:rPr>
            </w:pPr>
          </w:p>
        </w:tc>
        <w:tc>
          <w:tcPr>
            <w:tcW w:w="1080" w:type="dxa"/>
            <w:vAlign w:val="bottom"/>
            <w:gridSpan w:val="2"/>
            <w:vMerge w:val="continue"/>
          </w:tcPr>
          <w:p>
            <w:pPr>
              <w:spacing w:after="0"/>
              <w:rPr>
                <w:sz w:val="7"/>
                <w:szCs w:val="7"/>
                <w:color w:val="auto"/>
              </w:rPr>
            </w:pPr>
          </w:p>
        </w:tc>
        <w:tc>
          <w:tcPr>
            <w:tcW w:w="660" w:type="dxa"/>
            <w:vAlign w:val="bottom"/>
          </w:tcPr>
          <w:p>
            <w:pPr>
              <w:spacing w:after="0"/>
              <w:rPr>
                <w:sz w:val="7"/>
                <w:szCs w:val="7"/>
                <w:color w:val="auto"/>
              </w:rPr>
            </w:pPr>
          </w:p>
        </w:tc>
        <w:tc>
          <w:tcPr>
            <w:tcW w:w="2540" w:type="dxa"/>
            <w:vAlign w:val="bottom"/>
            <w:gridSpan w:val="3"/>
            <w:vMerge w:val="continue"/>
          </w:tcPr>
          <w:p>
            <w:pPr>
              <w:spacing w:after="0"/>
              <w:rPr>
                <w:sz w:val="7"/>
                <w:szCs w:val="7"/>
                <w:color w:val="auto"/>
              </w:rPr>
            </w:pPr>
          </w:p>
        </w:tc>
        <w:tc>
          <w:tcPr>
            <w:tcW w:w="920" w:type="dxa"/>
            <w:vAlign w:val="bottom"/>
            <w:vMerge w:val="continue"/>
          </w:tcPr>
          <w:p>
            <w:pPr>
              <w:spacing w:after="0"/>
              <w:rPr>
                <w:sz w:val="7"/>
                <w:szCs w:val="7"/>
                <w:color w:val="auto"/>
              </w:rPr>
            </w:pPr>
          </w:p>
        </w:tc>
        <w:tc>
          <w:tcPr>
            <w:tcW w:w="1060" w:type="dxa"/>
            <w:vAlign w:val="bottom"/>
            <w:vMerge w:val="restart"/>
          </w:tcPr>
          <w:p>
            <w:pPr>
              <w:ind w:left="280"/>
              <w:spacing w:after="0" w:line="135" w:lineRule="exact"/>
              <w:rPr>
                <w:sz w:val="20"/>
                <w:szCs w:val="20"/>
                <w:color w:val="auto"/>
              </w:rPr>
            </w:pPr>
            <w:r>
              <w:rPr>
                <w:rFonts w:ascii="Times New Roman" w:cs="Times New Roman" w:eastAsia="Times New Roman" w:hAnsi="Times New Roman"/>
                <w:sz w:val="13"/>
                <w:szCs w:val="13"/>
                <w:b w:val="1"/>
                <w:bCs w:val="1"/>
                <w:color w:val="auto"/>
              </w:rPr>
              <w:t>Value-Added</w:t>
            </w:r>
          </w:p>
        </w:tc>
        <w:tc>
          <w:tcPr>
            <w:tcW w:w="360" w:type="dxa"/>
            <w:vAlign w:val="bottom"/>
          </w:tcPr>
          <w:p>
            <w:pPr>
              <w:jc w:val="right"/>
              <w:ind w:right="196"/>
              <w:spacing w:after="0" w:line="81" w:lineRule="exact"/>
              <w:rPr>
                <w:sz w:val="20"/>
                <w:szCs w:val="20"/>
                <w:color w:val="auto"/>
              </w:rPr>
            </w:pPr>
            <w:r>
              <w:rPr>
                <w:rFonts w:ascii="Times New Roman" w:cs="Times New Roman" w:eastAsia="Times New Roman" w:hAnsi="Times New Roman"/>
                <w:sz w:val="9"/>
                <w:szCs w:val="9"/>
                <w:b w:val="1"/>
                <w:bCs w:val="1"/>
                <w:color w:val="auto"/>
                <w:w w:val="94"/>
              </w:rPr>
              <w:t>(3)</w:t>
            </w:r>
          </w:p>
        </w:tc>
        <w:tc>
          <w:tcPr>
            <w:tcW w:w="0" w:type="dxa"/>
            <w:vAlign w:val="bottom"/>
          </w:tcPr>
          <w:p>
            <w:pPr>
              <w:spacing w:after="0"/>
              <w:rPr>
                <w:sz w:val="1"/>
                <w:szCs w:val="1"/>
                <w:color w:val="auto"/>
              </w:rPr>
            </w:pPr>
          </w:p>
        </w:tc>
      </w:tr>
      <w:tr>
        <w:trPr>
          <w:trHeight w:val="54"/>
        </w:trPr>
        <w:tc>
          <w:tcPr>
            <w:tcW w:w="3620" w:type="dxa"/>
            <w:vAlign w:val="bottom"/>
          </w:tcPr>
          <w:p>
            <w:pPr>
              <w:spacing w:after="0"/>
              <w:rPr>
                <w:sz w:val="4"/>
                <w:szCs w:val="4"/>
                <w:color w:val="auto"/>
              </w:rPr>
            </w:pPr>
          </w:p>
        </w:tc>
        <w:tc>
          <w:tcPr>
            <w:tcW w:w="1000" w:type="dxa"/>
            <w:vAlign w:val="bottom"/>
            <w:vMerge w:val="restart"/>
          </w:tcPr>
          <w:p>
            <w:pPr>
              <w:jc w:val="center"/>
              <w:ind w:right="36"/>
              <w:spacing w:after="0"/>
              <w:rPr>
                <w:sz w:val="20"/>
                <w:szCs w:val="20"/>
                <w:color w:val="auto"/>
              </w:rPr>
            </w:pPr>
            <w:r>
              <w:rPr>
                <w:rFonts w:ascii="Times New Roman" w:cs="Times New Roman" w:eastAsia="Times New Roman" w:hAnsi="Times New Roman"/>
                <w:sz w:val="13"/>
                <w:szCs w:val="13"/>
                <w:b w:val="1"/>
                <w:bCs w:val="1"/>
                <w:color w:val="auto"/>
              </w:rPr>
              <w:t>Inception</w:t>
            </w:r>
          </w:p>
        </w:tc>
        <w:tc>
          <w:tcPr>
            <w:tcW w:w="1080" w:type="dxa"/>
            <w:vAlign w:val="bottom"/>
            <w:gridSpan w:val="2"/>
          </w:tcPr>
          <w:p>
            <w:pPr>
              <w:jc w:val="right"/>
              <w:ind w:right="453"/>
              <w:spacing w:after="0" w:line="54" w:lineRule="exact"/>
              <w:rPr>
                <w:sz w:val="20"/>
                <w:szCs w:val="20"/>
                <w:color w:val="auto"/>
              </w:rPr>
            </w:pPr>
            <w:r>
              <w:rPr>
                <w:rFonts w:ascii="Times New Roman" w:cs="Times New Roman" w:eastAsia="Times New Roman" w:hAnsi="Times New Roman"/>
                <w:sz w:val="5"/>
                <w:szCs w:val="5"/>
                <w:b w:val="1"/>
                <w:bCs w:val="1"/>
                <w:color w:val="auto"/>
              </w:rPr>
              <w:t>(1)</w:t>
            </w:r>
          </w:p>
        </w:tc>
        <w:tc>
          <w:tcPr>
            <w:tcW w:w="660" w:type="dxa"/>
            <w:vAlign w:val="bottom"/>
          </w:tcPr>
          <w:p>
            <w:pPr>
              <w:spacing w:after="0"/>
              <w:rPr>
                <w:sz w:val="4"/>
                <w:szCs w:val="4"/>
                <w:color w:val="auto"/>
              </w:rPr>
            </w:pPr>
          </w:p>
        </w:tc>
        <w:tc>
          <w:tcPr>
            <w:tcW w:w="2540" w:type="dxa"/>
            <w:vAlign w:val="bottom"/>
            <w:gridSpan w:val="3"/>
            <w:vMerge w:val="continue"/>
          </w:tcPr>
          <w:p>
            <w:pPr>
              <w:spacing w:after="0"/>
              <w:rPr>
                <w:sz w:val="4"/>
                <w:szCs w:val="4"/>
                <w:color w:val="auto"/>
              </w:rPr>
            </w:pPr>
          </w:p>
        </w:tc>
        <w:tc>
          <w:tcPr>
            <w:tcW w:w="920" w:type="dxa"/>
            <w:vAlign w:val="bottom"/>
          </w:tcPr>
          <w:p>
            <w:pPr>
              <w:spacing w:after="0"/>
              <w:rPr>
                <w:sz w:val="4"/>
                <w:szCs w:val="4"/>
                <w:color w:val="auto"/>
              </w:rPr>
            </w:pPr>
          </w:p>
        </w:tc>
        <w:tc>
          <w:tcPr>
            <w:tcW w:w="1060" w:type="dxa"/>
            <w:vAlign w:val="bottom"/>
            <w:vMerge w:val="continue"/>
          </w:tcPr>
          <w:p>
            <w:pPr>
              <w:spacing w:after="0"/>
              <w:rPr>
                <w:sz w:val="4"/>
                <w:szCs w:val="4"/>
                <w:color w:val="auto"/>
              </w:rPr>
            </w:pPr>
          </w:p>
        </w:tc>
        <w:tc>
          <w:tcPr>
            <w:tcW w:w="3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35"/>
        </w:trPr>
        <w:tc>
          <w:tcPr>
            <w:tcW w:w="3620" w:type="dxa"/>
            <w:vAlign w:val="bottom"/>
          </w:tcPr>
          <w:p>
            <w:pPr>
              <w:spacing w:after="0"/>
              <w:rPr>
                <w:sz w:val="11"/>
                <w:szCs w:val="11"/>
                <w:color w:val="auto"/>
              </w:rPr>
            </w:pPr>
          </w:p>
        </w:tc>
        <w:tc>
          <w:tcPr>
            <w:tcW w:w="1000" w:type="dxa"/>
            <w:vAlign w:val="bottom"/>
            <w:vMerge w:val="continue"/>
          </w:tcPr>
          <w:p>
            <w:pPr>
              <w:spacing w:after="0"/>
              <w:rPr>
                <w:sz w:val="11"/>
                <w:szCs w:val="11"/>
                <w:color w:val="auto"/>
              </w:rPr>
            </w:pPr>
          </w:p>
        </w:tc>
        <w:tc>
          <w:tcPr>
            <w:tcW w:w="5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420" w:type="dxa"/>
            <w:vAlign w:val="bottom"/>
            <w:gridSpan w:val="2"/>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rPr>
              <w:t>Since Inception</w:t>
            </w:r>
          </w:p>
        </w:tc>
        <w:tc>
          <w:tcPr>
            <w:tcW w:w="0" w:type="dxa"/>
            <w:vAlign w:val="bottom"/>
          </w:tcPr>
          <w:p>
            <w:pPr>
              <w:spacing w:after="0"/>
              <w:rPr>
                <w:sz w:val="1"/>
                <w:szCs w:val="1"/>
                <w:color w:val="auto"/>
              </w:rPr>
            </w:pPr>
          </w:p>
        </w:tc>
      </w:tr>
      <w:tr>
        <w:trPr>
          <w:trHeight w:val="210"/>
        </w:trPr>
        <w:tc>
          <w:tcPr>
            <w:tcW w:w="36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3"/>
                <w:szCs w:val="13"/>
                <w:b w:val="1"/>
                <w:bCs w:val="1"/>
                <w:color w:val="auto"/>
              </w:rPr>
              <w:t>Investment Team and Strategy</w:t>
            </w:r>
          </w:p>
        </w:tc>
        <w:tc>
          <w:tcPr>
            <w:tcW w:w="1000" w:type="dxa"/>
            <w:vAlign w:val="bottom"/>
            <w:tcBorders>
              <w:bottom w:val="single" w:sz="8" w:color="auto"/>
            </w:tcBorders>
          </w:tcPr>
          <w:p>
            <w:pPr>
              <w:jc w:val="center"/>
              <w:ind w:right="36"/>
              <w:spacing w:after="0"/>
              <w:rPr>
                <w:sz w:val="20"/>
                <w:szCs w:val="20"/>
                <w:color w:val="auto"/>
              </w:rPr>
            </w:pPr>
            <w:r>
              <w:rPr>
                <w:rFonts w:ascii="Times New Roman" w:cs="Times New Roman" w:eastAsia="Times New Roman" w:hAnsi="Times New Roman"/>
                <w:sz w:val="13"/>
                <w:szCs w:val="13"/>
                <w:b w:val="1"/>
                <w:bCs w:val="1"/>
                <w:color w:val="auto"/>
                <w:w w:val="99"/>
              </w:rPr>
              <w:t>Date</w:t>
            </w: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(in $</w:t>
            </w:r>
          </w:p>
        </w:tc>
        <w:tc>
          <w:tcPr>
            <w:tcW w:w="580" w:type="dxa"/>
            <w:vAlign w:val="bottom"/>
            <w:tcBorders>
              <w:bottom w:val="single" w:sz="8" w:color="auto"/>
            </w:tcBorders>
          </w:tcPr>
          <w:p>
            <w:pPr>
              <w:jc w:val="right"/>
              <w:ind w:right="213"/>
              <w:spacing w:after="0"/>
              <w:rPr>
                <w:sz w:val="20"/>
                <w:szCs w:val="20"/>
                <w:color w:val="auto"/>
              </w:rPr>
            </w:pPr>
            <w:r>
              <w:rPr>
                <w:rFonts w:ascii="Times New Roman" w:cs="Times New Roman" w:eastAsia="Times New Roman" w:hAnsi="Times New Roman"/>
                <w:sz w:val="13"/>
                <w:szCs w:val="13"/>
                <w:b w:val="1"/>
                <w:bCs w:val="1"/>
                <w:color w:val="auto"/>
                <w:w w:val="96"/>
              </w:rPr>
              <w:t>MM)</w:t>
            </w:r>
          </w:p>
        </w:tc>
        <w:tc>
          <w:tcPr>
            <w:tcW w:w="660" w:type="dxa"/>
            <w:vAlign w:val="bottom"/>
            <w:tcBorders>
              <w:bottom w:val="single" w:sz="8" w:color="auto"/>
            </w:tcBorders>
          </w:tcPr>
          <w:p>
            <w:pPr>
              <w:ind w:left="240"/>
              <w:spacing w:after="0"/>
              <w:rPr>
                <w:sz w:val="20"/>
                <w:szCs w:val="20"/>
                <w:color w:val="auto"/>
              </w:rPr>
            </w:pPr>
            <w:r>
              <w:rPr>
                <w:rFonts w:ascii="Times New Roman" w:cs="Times New Roman" w:eastAsia="Times New Roman" w:hAnsi="Times New Roman"/>
                <w:sz w:val="13"/>
                <w:szCs w:val="13"/>
                <w:b w:val="1"/>
                <w:bCs w:val="1"/>
                <w:color w:val="auto"/>
              </w:rPr>
              <w:t>1 YR</w:t>
            </w:r>
          </w:p>
        </w:tc>
        <w:tc>
          <w:tcPr>
            <w:tcW w:w="900" w:type="dxa"/>
            <w:vAlign w:val="bottom"/>
            <w:tcBorders>
              <w:bottom w:val="single" w:sz="8" w:color="auto"/>
            </w:tcBorders>
          </w:tcPr>
          <w:p>
            <w:pPr>
              <w:ind w:left="360"/>
              <w:spacing w:after="0"/>
              <w:rPr>
                <w:sz w:val="20"/>
                <w:szCs w:val="20"/>
                <w:color w:val="auto"/>
              </w:rPr>
            </w:pPr>
            <w:r>
              <w:rPr>
                <w:rFonts w:ascii="Times New Roman" w:cs="Times New Roman" w:eastAsia="Times New Roman" w:hAnsi="Times New Roman"/>
                <w:sz w:val="13"/>
                <w:szCs w:val="13"/>
                <w:b w:val="1"/>
                <w:bCs w:val="1"/>
                <w:color w:val="auto"/>
              </w:rPr>
              <w:t>3 YR</w:t>
            </w:r>
          </w:p>
        </w:tc>
        <w:tc>
          <w:tcPr>
            <w:tcW w:w="7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rPr>
              <w:t>5 YR</w:t>
            </w:r>
          </w:p>
        </w:tc>
        <w:tc>
          <w:tcPr>
            <w:tcW w:w="86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3"/>
                <w:szCs w:val="13"/>
                <w:b w:val="1"/>
                <w:bCs w:val="1"/>
                <w:color w:val="auto"/>
              </w:rPr>
              <w:t>10 YR</w:t>
            </w:r>
          </w:p>
        </w:tc>
        <w:tc>
          <w:tcPr>
            <w:tcW w:w="920" w:type="dxa"/>
            <w:vAlign w:val="bottom"/>
            <w:tcBorders>
              <w:bottom w:val="single" w:sz="8" w:color="auto"/>
            </w:tcBorders>
          </w:tcPr>
          <w:p>
            <w:pPr>
              <w:jc w:val="right"/>
              <w:ind w:right="193"/>
              <w:spacing w:after="0"/>
              <w:rPr>
                <w:sz w:val="20"/>
                <w:szCs w:val="20"/>
                <w:color w:val="auto"/>
              </w:rPr>
            </w:pPr>
            <w:r>
              <w:rPr>
                <w:rFonts w:ascii="Times New Roman" w:cs="Times New Roman" w:eastAsia="Times New Roman" w:hAnsi="Times New Roman"/>
                <w:sz w:val="13"/>
                <w:szCs w:val="13"/>
                <w:b w:val="1"/>
                <w:bCs w:val="1"/>
                <w:color w:val="auto"/>
              </w:rPr>
              <w:t>Inception</w:t>
            </w:r>
          </w:p>
        </w:tc>
        <w:tc>
          <w:tcPr>
            <w:tcW w:w="1060" w:type="dxa"/>
            <w:vAlign w:val="bottom"/>
            <w:tcBorders>
              <w:bottom w:val="single" w:sz="8" w:color="auto"/>
            </w:tcBorders>
          </w:tcPr>
          <w:p>
            <w:pPr>
              <w:jc w:val="center"/>
              <w:ind w:left="333"/>
              <w:spacing w:after="0"/>
              <w:rPr>
                <w:sz w:val="20"/>
                <w:szCs w:val="20"/>
                <w:color w:val="auto"/>
              </w:rPr>
            </w:pPr>
            <w:r>
              <w:rPr>
                <w:rFonts w:ascii="Times New Roman" w:cs="Times New Roman" w:eastAsia="Times New Roman" w:hAnsi="Times New Roman"/>
                <w:sz w:val="13"/>
                <w:szCs w:val="13"/>
                <w:b w:val="1"/>
                <w:bCs w:val="1"/>
                <w:color w:val="auto"/>
              </w:rPr>
              <w:t>(bps)</w:t>
            </w:r>
          </w:p>
        </w:tc>
        <w:tc>
          <w:tcPr>
            <w:tcW w:w="3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3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Growth Team</w:t>
            </w:r>
          </w:p>
        </w:tc>
        <w:tc>
          <w:tcPr>
            <w:tcW w:w="100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2"/>
        </w:trPr>
        <w:tc>
          <w:tcPr>
            <w:tcW w:w="36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Global Opportunities Strategy</w:t>
            </w: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2/1/2007</w:t>
            </w:r>
          </w:p>
        </w:tc>
        <w:tc>
          <w:tcPr>
            <w:tcW w:w="500" w:type="dxa"/>
            <w:vAlign w:val="bottom"/>
          </w:tcPr>
          <w:p>
            <w:pPr>
              <w:jc w:val="right"/>
              <w:ind w:right="294"/>
              <w:spacing w:after="0"/>
              <w:rPr>
                <w:sz w:val="20"/>
                <w:szCs w:val="20"/>
                <w:color w:val="auto"/>
              </w:rPr>
            </w:pPr>
            <w:r>
              <w:rPr>
                <w:rFonts w:ascii="Times New Roman" w:cs="Times New Roman" w:eastAsia="Times New Roman" w:hAnsi="Times New Roman"/>
                <w:sz w:val="13"/>
                <w:szCs w:val="13"/>
                <w:color w:val="auto"/>
              </w:rPr>
              <w:t>$</w:t>
            </w:r>
          </w:p>
        </w:tc>
        <w:tc>
          <w:tcPr>
            <w:tcW w:w="580" w:type="dxa"/>
            <w:vAlign w:val="bottom"/>
          </w:tcPr>
          <w:p>
            <w:pPr>
              <w:jc w:val="right"/>
              <w:ind w:right="93"/>
              <w:spacing w:after="0"/>
              <w:rPr>
                <w:sz w:val="20"/>
                <w:szCs w:val="20"/>
                <w:color w:val="auto"/>
              </w:rPr>
            </w:pPr>
            <w:r>
              <w:rPr>
                <w:rFonts w:ascii="Times New Roman" w:cs="Times New Roman" w:eastAsia="Times New Roman" w:hAnsi="Times New Roman"/>
                <w:sz w:val="13"/>
                <w:szCs w:val="13"/>
                <w:color w:val="auto"/>
              </w:rPr>
              <w:t>14,340</w:t>
            </w:r>
          </w:p>
        </w:tc>
        <w:tc>
          <w:tcPr>
            <w:tcW w:w="660" w:type="dxa"/>
            <w:vAlign w:val="bottom"/>
          </w:tcPr>
          <w:p>
            <w:pPr>
              <w:jc w:val="center"/>
              <w:ind w:left="53"/>
              <w:spacing w:after="0"/>
              <w:rPr>
                <w:sz w:val="20"/>
                <w:szCs w:val="20"/>
                <w:color w:val="auto"/>
              </w:rPr>
            </w:pPr>
            <w:r>
              <w:rPr>
                <w:rFonts w:ascii="Times New Roman" w:cs="Times New Roman" w:eastAsia="Times New Roman" w:hAnsi="Times New Roman"/>
                <w:sz w:val="13"/>
                <w:szCs w:val="13"/>
                <w:color w:val="auto"/>
              </w:rPr>
              <w:t>10.04%</w:t>
            </w:r>
          </w:p>
        </w:tc>
        <w:tc>
          <w:tcPr>
            <w:tcW w:w="900" w:type="dxa"/>
            <w:vAlign w:val="bottom"/>
          </w:tcPr>
          <w:p>
            <w:pPr>
              <w:jc w:val="center"/>
              <w:ind w:left="53"/>
              <w:spacing w:after="0"/>
              <w:rPr>
                <w:sz w:val="20"/>
                <w:szCs w:val="20"/>
                <w:color w:val="auto"/>
              </w:rPr>
            </w:pPr>
            <w:r>
              <w:rPr>
                <w:rFonts w:ascii="Times New Roman" w:cs="Times New Roman" w:eastAsia="Times New Roman" w:hAnsi="Times New Roman"/>
                <w:sz w:val="13"/>
                <w:szCs w:val="13"/>
                <w:color w:val="auto"/>
              </w:rPr>
              <w:t>11.68%</w:t>
            </w:r>
          </w:p>
        </w:tc>
        <w:tc>
          <w:tcPr>
            <w:tcW w:w="78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4.64%</w:t>
            </w:r>
          </w:p>
        </w:tc>
        <w:tc>
          <w:tcPr>
            <w:tcW w:w="860" w:type="dxa"/>
            <w:vAlign w:val="bottom"/>
          </w:tcPr>
          <w:p>
            <w:pPr>
              <w:jc w:val="center"/>
              <w:ind w:right="13"/>
              <w:spacing w:after="0"/>
              <w:rPr>
                <w:sz w:val="20"/>
                <w:szCs w:val="20"/>
                <w:color w:val="auto"/>
              </w:rPr>
            </w:pPr>
            <w:r>
              <w:rPr>
                <w:rFonts w:ascii="Times New Roman" w:cs="Times New Roman" w:eastAsia="Times New Roman" w:hAnsi="Times New Roman"/>
                <w:sz w:val="13"/>
                <w:szCs w:val="13"/>
                <w:color w:val="auto"/>
              </w:rPr>
              <w:t>11.97%</w:t>
            </w:r>
          </w:p>
        </w:tc>
        <w:tc>
          <w:tcPr>
            <w:tcW w:w="920" w:type="dxa"/>
            <w:vAlign w:val="bottom"/>
          </w:tcPr>
          <w:p>
            <w:pPr>
              <w:jc w:val="center"/>
              <w:ind w:right="73"/>
              <w:spacing w:after="0"/>
              <w:rPr>
                <w:sz w:val="20"/>
                <w:szCs w:val="20"/>
                <w:color w:val="auto"/>
              </w:rPr>
            </w:pPr>
            <w:r>
              <w:rPr>
                <w:rFonts w:ascii="Times New Roman" w:cs="Times New Roman" w:eastAsia="Times New Roman" w:hAnsi="Times New Roman"/>
                <w:sz w:val="13"/>
                <w:szCs w:val="13"/>
                <w:color w:val="auto"/>
              </w:rPr>
              <w:t>10.59%</w:t>
            </w:r>
          </w:p>
        </w:tc>
        <w:tc>
          <w:tcPr>
            <w:tcW w:w="1060" w:type="dxa"/>
            <w:vAlign w:val="bottom"/>
          </w:tcPr>
          <w:p>
            <w:pPr>
              <w:jc w:val="center"/>
              <w:ind w:left="353"/>
              <w:spacing w:after="0"/>
              <w:rPr>
                <w:sz w:val="20"/>
                <w:szCs w:val="20"/>
                <w:color w:val="auto"/>
              </w:rPr>
            </w:pPr>
            <w:r>
              <w:rPr>
                <w:rFonts w:ascii="Times New Roman" w:cs="Times New Roman" w:eastAsia="Times New Roman" w:hAnsi="Times New Roman"/>
                <w:sz w:val="13"/>
                <w:szCs w:val="13"/>
                <w:color w:val="auto"/>
              </w:rPr>
              <w:t>335</w:t>
            </w:r>
          </w:p>
        </w:tc>
        <w:tc>
          <w:tcPr>
            <w:tcW w:w="3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36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i w:val="1"/>
                <w:iCs w:val="1"/>
                <w:color w:val="auto"/>
              </w:rPr>
              <w:t>MSCI All Country World Index</w:t>
            </w:r>
          </w:p>
        </w:tc>
        <w:tc>
          <w:tcPr>
            <w:tcW w:w="10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660" w:type="dxa"/>
            <w:vAlign w:val="bottom"/>
            <w:shd w:val="clear" w:color="auto" w:fill="CCEEFF"/>
          </w:tcPr>
          <w:p>
            <w:pPr>
              <w:jc w:val="center"/>
              <w:ind w:left="53"/>
              <w:spacing w:after="0"/>
              <w:rPr>
                <w:sz w:val="20"/>
                <w:szCs w:val="20"/>
                <w:color w:val="auto"/>
              </w:rPr>
            </w:pPr>
            <w:r>
              <w:rPr>
                <w:rFonts w:ascii="Times New Roman" w:cs="Times New Roman" w:eastAsia="Times New Roman" w:hAnsi="Times New Roman"/>
                <w:sz w:val="13"/>
                <w:szCs w:val="13"/>
                <w:i w:val="1"/>
                <w:iCs w:val="1"/>
                <w:color w:val="auto"/>
              </w:rPr>
              <w:t>20.01%</w:t>
            </w:r>
          </w:p>
        </w:tc>
        <w:tc>
          <w:tcPr>
            <w:tcW w:w="900" w:type="dxa"/>
            <w:vAlign w:val="bottom"/>
            <w:shd w:val="clear" w:color="auto" w:fill="CCEEFF"/>
          </w:tcPr>
          <w:p>
            <w:pPr>
              <w:jc w:val="center"/>
              <w:ind w:left="53"/>
              <w:spacing w:after="0"/>
              <w:rPr>
                <w:sz w:val="20"/>
                <w:szCs w:val="20"/>
                <w:color w:val="auto"/>
              </w:rPr>
            </w:pPr>
            <w:r>
              <w:rPr>
                <w:rFonts w:ascii="Times New Roman" w:cs="Times New Roman" w:eastAsia="Times New Roman" w:hAnsi="Times New Roman"/>
                <w:sz w:val="13"/>
                <w:szCs w:val="13"/>
                <w:i w:val="1"/>
                <w:iCs w:val="1"/>
                <w:color w:val="auto"/>
              </w:rPr>
              <w:t>16.56%</w:t>
            </w:r>
          </w:p>
        </w:tc>
        <w:tc>
          <w:tcPr>
            <w:tcW w:w="7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i w:val="1"/>
                <w:iCs w:val="1"/>
                <w:color w:val="auto"/>
              </w:rPr>
              <w:t>9.48%</w:t>
            </w:r>
          </w:p>
        </w:tc>
        <w:tc>
          <w:tcPr>
            <w:tcW w:w="860" w:type="dxa"/>
            <w:vAlign w:val="bottom"/>
            <w:shd w:val="clear" w:color="auto" w:fill="CCEEFF"/>
          </w:tcPr>
          <w:p>
            <w:pPr>
              <w:jc w:val="center"/>
              <w:ind w:right="13"/>
              <w:spacing w:after="0"/>
              <w:rPr>
                <w:sz w:val="20"/>
                <w:szCs w:val="20"/>
                <w:color w:val="auto"/>
              </w:rPr>
            </w:pPr>
            <w:r>
              <w:rPr>
                <w:rFonts w:ascii="Times New Roman" w:cs="Times New Roman" w:eastAsia="Times New Roman" w:hAnsi="Times New Roman"/>
                <w:sz w:val="13"/>
                <w:szCs w:val="13"/>
                <w:i w:val="1"/>
                <w:iCs w:val="1"/>
                <w:color w:val="auto"/>
              </w:rPr>
              <w:t>11.33%</w:t>
            </w:r>
          </w:p>
        </w:tc>
        <w:tc>
          <w:tcPr>
            <w:tcW w:w="920" w:type="dxa"/>
            <w:vAlign w:val="bottom"/>
            <w:shd w:val="clear" w:color="auto" w:fill="CCEEFF"/>
          </w:tcPr>
          <w:p>
            <w:pPr>
              <w:jc w:val="center"/>
              <w:ind w:right="93"/>
              <w:spacing w:after="0"/>
              <w:rPr>
                <w:sz w:val="20"/>
                <w:szCs w:val="20"/>
                <w:color w:val="auto"/>
              </w:rPr>
            </w:pPr>
            <w:r>
              <w:rPr>
                <w:rFonts w:ascii="Times New Roman" w:cs="Times New Roman" w:eastAsia="Times New Roman" w:hAnsi="Times New Roman"/>
                <w:sz w:val="13"/>
                <w:szCs w:val="13"/>
                <w:i w:val="1"/>
                <w:iCs w:val="1"/>
                <w:color w:val="auto"/>
              </w:rPr>
              <w:t>7.24%</w:t>
            </w:r>
          </w:p>
        </w:tc>
        <w:tc>
          <w:tcPr>
            <w:tcW w:w="10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2"/>
        </w:trPr>
        <w:tc>
          <w:tcPr>
            <w:tcW w:w="36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Global Discovery Strategy</w:t>
            </w: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9/1/2017</w:t>
            </w:r>
          </w:p>
        </w:tc>
        <w:tc>
          <w:tcPr>
            <w:tcW w:w="500" w:type="dxa"/>
            <w:vAlign w:val="bottom"/>
          </w:tcPr>
          <w:p>
            <w:pPr>
              <w:jc w:val="right"/>
              <w:ind w:right="294"/>
              <w:spacing w:after="0"/>
              <w:rPr>
                <w:sz w:val="20"/>
                <w:szCs w:val="20"/>
                <w:color w:val="auto"/>
              </w:rPr>
            </w:pPr>
            <w:r>
              <w:rPr>
                <w:rFonts w:ascii="Times New Roman" w:cs="Times New Roman" w:eastAsia="Times New Roman" w:hAnsi="Times New Roman"/>
                <w:sz w:val="13"/>
                <w:szCs w:val="13"/>
                <w:color w:val="auto"/>
              </w:rPr>
              <w:t>$</w:t>
            </w:r>
          </w:p>
        </w:tc>
        <w:tc>
          <w:tcPr>
            <w:tcW w:w="580" w:type="dxa"/>
            <w:vAlign w:val="bottom"/>
          </w:tcPr>
          <w:p>
            <w:pPr>
              <w:jc w:val="right"/>
              <w:ind w:right="93"/>
              <w:spacing w:after="0"/>
              <w:rPr>
                <w:sz w:val="20"/>
                <w:szCs w:val="20"/>
                <w:color w:val="auto"/>
              </w:rPr>
            </w:pPr>
            <w:r>
              <w:rPr>
                <w:rFonts w:ascii="Times New Roman" w:cs="Times New Roman" w:eastAsia="Times New Roman" w:hAnsi="Times New Roman"/>
                <w:sz w:val="13"/>
                <w:szCs w:val="13"/>
                <w:color w:val="auto"/>
              </w:rPr>
              <w:t>1,026</w:t>
            </w:r>
          </w:p>
        </w:tc>
        <w:tc>
          <w:tcPr>
            <w:tcW w:w="660" w:type="dxa"/>
            <w:vAlign w:val="bottom"/>
          </w:tcPr>
          <w:p>
            <w:pPr>
              <w:jc w:val="center"/>
              <w:ind w:left="53"/>
              <w:spacing w:after="0"/>
              <w:rPr>
                <w:sz w:val="20"/>
                <w:szCs w:val="20"/>
                <w:color w:val="auto"/>
              </w:rPr>
            </w:pPr>
            <w:r>
              <w:rPr>
                <w:rFonts w:ascii="Times New Roman" w:cs="Times New Roman" w:eastAsia="Times New Roman" w:hAnsi="Times New Roman"/>
                <w:sz w:val="13"/>
                <w:szCs w:val="13"/>
                <w:color w:val="auto"/>
              </w:rPr>
              <w:t>10.94%</w:t>
            </w:r>
          </w:p>
        </w:tc>
        <w:tc>
          <w:tcPr>
            <w:tcW w:w="900" w:type="dxa"/>
            <w:vAlign w:val="bottom"/>
          </w:tcPr>
          <w:p>
            <w:pPr>
              <w:jc w:val="center"/>
              <w:ind w:left="53"/>
              <w:spacing w:after="0"/>
              <w:rPr>
                <w:sz w:val="20"/>
                <w:szCs w:val="20"/>
                <w:color w:val="auto"/>
              </w:rPr>
            </w:pPr>
            <w:r>
              <w:rPr>
                <w:rFonts w:ascii="Times New Roman" w:cs="Times New Roman" w:eastAsia="Times New Roman" w:hAnsi="Times New Roman"/>
                <w:sz w:val="13"/>
                <w:szCs w:val="13"/>
                <w:color w:val="auto"/>
              </w:rPr>
              <w:t>11.37%</w:t>
            </w:r>
          </w:p>
        </w:tc>
        <w:tc>
          <w:tcPr>
            <w:tcW w:w="78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4.90%</w:t>
            </w:r>
          </w:p>
        </w:tc>
        <w:tc>
          <w:tcPr>
            <w:tcW w:w="860" w:type="dxa"/>
            <w:vAlign w:val="bottom"/>
          </w:tcPr>
          <w:p>
            <w:pPr>
              <w:jc w:val="center"/>
              <w:ind w:right="13"/>
              <w:spacing w:after="0"/>
              <w:rPr>
                <w:sz w:val="20"/>
                <w:szCs w:val="20"/>
                <w:color w:val="auto"/>
              </w:rPr>
            </w:pPr>
            <w:r>
              <w:rPr>
                <w:rFonts w:ascii="Times New Roman" w:cs="Times New Roman" w:eastAsia="Times New Roman" w:hAnsi="Times New Roman"/>
                <w:sz w:val="13"/>
                <w:szCs w:val="13"/>
                <w:color w:val="auto"/>
              </w:rPr>
              <w:t>---</w:t>
            </w:r>
          </w:p>
        </w:tc>
        <w:tc>
          <w:tcPr>
            <w:tcW w:w="920" w:type="dxa"/>
            <w:vAlign w:val="bottom"/>
          </w:tcPr>
          <w:p>
            <w:pPr>
              <w:jc w:val="center"/>
              <w:ind w:right="73"/>
              <w:spacing w:after="0"/>
              <w:rPr>
                <w:sz w:val="20"/>
                <w:szCs w:val="20"/>
                <w:color w:val="auto"/>
              </w:rPr>
            </w:pPr>
            <w:r>
              <w:rPr>
                <w:rFonts w:ascii="Times New Roman" w:cs="Times New Roman" w:eastAsia="Times New Roman" w:hAnsi="Times New Roman"/>
                <w:sz w:val="13"/>
                <w:szCs w:val="13"/>
                <w:color w:val="auto"/>
              </w:rPr>
              <w:t>12.41%</w:t>
            </w:r>
          </w:p>
        </w:tc>
        <w:tc>
          <w:tcPr>
            <w:tcW w:w="1060" w:type="dxa"/>
            <w:vAlign w:val="bottom"/>
          </w:tcPr>
          <w:p>
            <w:pPr>
              <w:jc w:val="center"/>
              <w:ind w:left="353"/>
              <w:spacing w:after="0"/>
              <w:rPr>
                <w:sz w:val="20"/>
                <w:szCs w:val="20"/>
                <w:color w:val="auto"/>
              </w:rPr>
            </w:pPr>
            <w:r>
              <w:rPr>
                <w:rFonts w:ascii="Times New Roman" w:cs="Times New Roman" w:eastAsia="Times New Roman" w:hAnsi="Times New Roman"/>
                <w:sz w:val="13"/>
                <w:szCs w:val="13"/>
                <w:color w:val="auto"/>
              </w:rPr>
              <w:t>442</w:t>
            </w:r>
          </w:p>
        </w:tc>
        <w:tc>
          <w:tcPr>
            <w:tcW w:w="3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36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i w:val="1"/>
                <w:iCs w:val="1"/>
                <w:color w:val="auto"/>
              </w:rPr>
              <w:t>MSCI All Country World Small Mid Cap Index</w:t>
            </w:r>
          </w:p>
        </w:tc>
        <w:tc>
          <w:tcPr>
            <w:tcW w:w="10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660" w:type="dxa"/>
            <w:vAlign w:val="bottom"/>
            <w:shd w:val="clear" w:color="auto" w:fill="CCEEFF"/>
          </w:tcPr>
          <w:p>
            <w:pPr>
              <w:jc w:val="center"/>
              <w:ind w:left="53"/>
              <w:spacing w:after="0"/>
              <w:rPr>
                <w:sz w:val="20"/>
                <w:szCs w:val="20"/>
                <w:color w:val="auto"/>
              </w:rPr>
            </w:pPr>
            <w:r>
              <w:rPr>
                <w:rFonts w:ascii="Times New Roman" w:cs="Times New Roman" w:eastAsia="Times New Roman" w:hAnsi="Times New Roman"/>
                <w:sz w:val="13"/>
                <w:szCs w:val="13"/>
                <w:i w:val="1"/>
                <w:iCs w:val="1"/>
                <w:color w:val="auto"/>
              </w:rPr>
              <w:t>21.64%</w:t>
            </w:r>
          </w:p>
        </w:tc>
        <w:tc>
          <w:tcPr>
            <w:tcW w:w="900" w:type="dxa"/>
            <w:vAlign w:val="bottom"/>
            <w:shd w:val="clear" w:color="auto" w:fill="CCEEFF"/>
          </w:tcPr>
          <w:p>
            <w:pPr>
              <w:jc w:val="center"/>
              <w:ind w:left="53"/>
              <w:spacing w:after="0"/>
              <w:rPr>
                <w:sz w:val="20"/>
                <w:szCs w:val="20"/>
                <w:color w:val="auto"/>
              </w:rPr>
            </w:pPr>
            <w:r>
              <w:rPr>
                <w:rFonts w:ascii="Times New Roman" w:cs="Times New Roman" w:eastAsia="Times New Roman" w:hAnsi="Times New Roman"/>
                <w:sz w:val="13"/>
                <w:szCs w:val="13"/>
                <w:i w:val="1"/>
                <w:iCs w:val="1"/>
                <w:color w:val="auto"/>
              </w:rPr>
              <w:t>13.06%</w:t>
            </w:r>
          </w:p>
        </w:tc>
        <w:tc>
          <w:tcPr>
            <w:tcW w:w="7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i w:val="1"/>
                <w:iCs w:val="1"/>
                <w:color w:val="auto"/>
              </w:rPr>
              <w:t>5.86%</w:t>
            </w:r>
          </w:p>
        </w:tc>
        <w:tc>
          <w:tcPr>
            <w:tcW w:w="860" w:type="dxa"/>
            <w:vAlign w:val="bottom"/>
            <w:shd w:val="clear" w:color="auto" w:fill="CCEEFF"/>
          </w:tcPr>
          <w:p>
            <w:pPr>
              <w:jc w:val="center"/>
              <w:ind w:right="13"/>
              <w:spacing w:after="0"/>
              <w:rPr>
                <w:sz w:val="20"/>
                <w:szCs w:val="20"/>
                <w:color w:val="auto"/>
              </w:rPr>
            </w:pPr>
            <w:r>
              <w:rPr>
                <w:rFonts w:ascii="Times New Roman" w:cs="Times New Roman" w:eastAsia="Times New Roman" w:hAnsi="Times New Roman"/>
                <w:sz w:val="13"/>
                <w:szCs w:val="13"/>
                <w:i w:val="1"/>
                <w:iCs w:val="1"/>
                <w:color w:val="auto"/>
              </w:rPr>
              <w:t>---</w:t>
            </w:r>
          </w:p>
        </w:tc>
        <w:tc>
          <w:tcPr>
            <w:tcW w:w="920" w:type="dxa"/>
            <w:vAlign w:val="bottom"/>
            <w:shd w:val="clear" w:color="auto" w:fill="CCEEFF"/>
          </w:tcPr>
          <w:p>
            <w:pPr>
              <w:jc w:val="center"/>
              <w:ind w:right="93"/>
              <w:spacing w:after="0"/>
              <w:rPr>
                <w:sz w:val="20"/>
                <w:szCs w:val="20"/>
                <w:color w:val="auto"/>
              </w:rPr>
            </w:pPr>
            <w:r>
              <w:rPr>
                <w:rFonts w:ascii="Times New Roman" w:cs="Times New Roman" w:eastAsia="Times New Roman" w:hAnsi="Times New Roman"/>
                <w:sz w:val="13"/>
                <w:szCs w:val="13"/>
                <w:i w:val="1"/>
                <w:iCs w:val="1"/>
                <w:color w:val="auto"/>
              </w:rPr>
              <w:t>7.99%</w:t>
            </w:r>
          </w:p>
        </w:tc>
        <w:tc>
          <w:tcPr>
            <w:tcW w:w="10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2"/>
        </w:trPr>
        <w:tc>
          <w:tcPr>
            <w:tcW w:w="36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U.S. Mid-Cap Growth Strategy</w:t>
            </w: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4/1/1997</w:t>
            </w:r>
          </w:p>
        </w:tc>
        <w:tc>
          <w:tcPr>
            <w:tcW w:w="500" w:type="dxa"/>
            <w:vAlign w:val="bottom"/>
          </w:tcPr>
          <w:p>
            <w:pPr>
              <w:jc w:val="right"/>
              <w:ind w:right="294"/>
              <w:spacing w:after="0"/>
              <w:rPr>
                <w:sz w:val="20"/>
                <w:szCs w:val="20"/>
                <w:color w:val="auto"/>
              </w:rPr>
            </w:pPr>
            <w:r>
              <w:rPr>
                <w:rFonts w:ascii="Times New Roman" w:cs="Times New Roman" w:eastAsia="Times New Roman" w:hAnsi="Times New Roman"/>
                <w:sz w:val="13"/>
                <w:szCs w:val="13"/>
                <w:color w:val="auto"/>
              </w:rPr>
              <w:t>$</w:t>
            </w:r>
          </w:p>
        </w:tc>
        <w:tc>
          <w:tcPr>
            <w:tcW w:w="580" w:type="dxa"/>
            <w:vAlign w:val="bottom"/>
          </w:tcPr>
          <w:p>
            <w:pPr>
              <w:jc w:val="right"/>
              <w:ind w:right="93"/>
              <w:spacing w:after="0"/>
              <w:rPr>
                <w:sz w:val="20"/>
                <w:szCs w:val="20"/>
                <w:color w:val="auto"/>
              </w:rPr>
            </w:pPr>
            <w:r>
              <w:rPr>
                <w:rFonts w:ascii="Times New Roman" w:cs="Times New Roman" w:eastAsia="Times New Roman" w:hAnsi="Times New Roman"/>
                <w:sz w:val="13"/>
                <w:szCs w:val="13"/>
                <w:color w:val="auto"/>
              </w:rPr>
              <w:t>9,364</w:t>
            </w:r>
          </w:p>
        </w:tc>
        <w:tc>
          <w:tcPr>
            <w:tcW w:w="660" w:type="dxa"/>
            <w:vAlign w:val="bottom"/>
          </w:tcPr>
          <w:p>
            <w:pPr>
              <w:jc w:val="center"/>
              <w:ind w:left="33"/>
              <w:spacing w:after="0"/>
              <w:rPr>
                <w:sz w:val="20"/>
                <w:szCs w:val="20"/>
                <w:color w:val="auto"/>
              </w:rPr>
            </w:pPr>
            <w:r>
              <w:rPr>
                <w:rFonts w:ascii="Times New Roman" w:cs="Times New Roman" w:eastAsia="Times New Roman" w:hAnsi="Times New Roman"/>
                <w:sz w:val="13"/>
                <w:szCs w:val="13"/>
                <w:color w:val="auto"/>
                <w:w w:val="99"/>
              </w:rPr>
              <w:t>18.11%</w:t>
            </w:r>
          </w:p>
        </w:tc>
        <w:tc>
          <w:tcPr>
            <w:tcW w:w="900" w:type="dxa"/>
            <w:vAlign w:val="bottom"/>
          </w:tcPr>
          <w:p>
            <w:pPr>
              <w:jc w:val="center"/>
              <w:ind w:left="53"/>
              <w:spacing w:after="0"/>
              <w:rPr>
                <w:sz w:val="20"/>
                <w:szCs w:val="20"/>
                <w:color w:val="auto"/>
              </w:rPr>
            </w:pPr>
            <w:r>
              <w:rPr>
                <w:rFonts w:ascii="Times New Roman" w:cs="Times New Roman" w:eastAsia="Times New Roman" w:hAnsi="Times New Roman"/>
                <w:sz w:val="13"/>
                <w:szCs w:val="13"/>
                <w:color w:val="auto"/>
              </w:rPr>
              <w:t>11.42%</w:t>
            </w:r>
          </w:p>
        </w:tc>
        <w:tc>
          <w:tcPr>
            <w:tcW w:w="78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2.60%</w:t>
            </w:r>
          </w:p>
        </w:tc>
        <w:tc>
          <w:tcPr>
            <w:tcW w:w="860" w:type="dxa"/>
            <w:vAlign w:val="bottom"/>
          </w:tcPr>
          <w:p>
            <w:pPr>
              <w:jc w:val="center"/>
              <w:ind w:right="13"/>
              <w:spacing w:after="0"/>
              <w:rPr>
                <w:sz w:val="20"/>
                <w:szCs w:val="20"/>
                <w:color w:val="auto"/>
              </w:rPr>
            </w:pPr>
            <w:r>
              <w:rPr>
                <w:rFonts w:ascii="Times New Roman" w:cs="Times New Roman" w:eastAsia="Times New Roman" w:hAnsi="Times New Roman"/>
                <w:sz w:val="13"/>
                <w:szCs w:val="13"/>
                <w:color w:val="auto"/>
              </w:rPr>
              <w:t>12.06%</w:t>
            </w:r>
          </w:p>
        </w:tc>
        <w:tc>
          <w:tcPr>
            <w:tcW w:w="920" w:type="dxa"/>
            <w:vAlign w:val="bottom"/>
          </w:tcPr>
          <w:p>
            <w:pPr>
              <w:jc w:val="center"/>
              <w:ind w:right="73"/>
              <w:spacing w:after="0"/>
              <w:rPr>
                <w:sz w:val="20"/>
                <w:szCs w:val="20"/>
                <w:color w:val="auto"/>
              </w:rPr>
            </w:pPr>
            <w:r>
              <w:rPr>
                <w:rFonts w:ascii="Times New Roman" w:cs="Times New Roman" w:eastAsia="Times New Roman" w:hAnsi="Times New Roman"/>
                <w:sz w:val="13"/>
                <w:szCs w:val="13"/>
                <w:color w:val="auto"/>
              </w:rPr>
              <w:t>13.98%</w:t>
            </w:r>
          </w:p>
        </w:tc>
        <w:tc>
          <w:tcPr>
            <w:tcW w:w="1060" w:type="dxa"/>
            <w:vAlign w:val="bottom"/>
          </w:tcPr>
          <w:p>
            <w:pPr>
              <w:jc w:val="center"/>
              <w:ind w:left="353"/>
              <w:spacing w:after="0"/>
              <w:rPr>
                <w:sz w:val="20"/>
                <w:szCs w:val="20"/>
                <w:color w:val="auto"/>
              </w:rPr>
            </w:pPr>
            <w:r>
              <w:rPr>
                <w:rFonts w:ascii="Times New Roman" w:cs="Times New Roman" w:eastAsia="Times New Roman" w:hAnsi="Times New Roman"/>
                <w:sz w:val="13"/>
                <w:szCs w:val="13"/>
                <w:color w:val="auto"/>
              </w:rPr>
              <w:t>439</w:t>
            </w:r>
          </w:p>
        </w:tc>
        <w:tc>
          <w:tcPr>
            <w:tcW w:w="3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36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i w:val="1"/>
                <w:iCs w:val="1"/>
                <w:color w:val="auto"/>
              </w:rPr>
              <w:t>Russell® Midcap Index</w:t>
            </w:r>
          </w:p>
        </w:tc>
        <w:tc>
          <w:tcPr>
            <w:tcW w:w="10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660" w:type="dxa"/>
            <w:vAlign w:val="bottom"/>
            <w:shd w:val="clear" w:color="auto" w:fill="CCEEFF"/>
          </w:tcPr>
          <w:p>
            <w:pPr>
              <w:jc w:val="center"/>
              <w:ind w:left="53"/>
              <w:spacing w:after="0"/>
              <w:rPr>
                <w:sz w:val="20"/>
                <w:szCs w:val="20"/>
                <w:color w:val="auto"/>
              </w:rPr>
            </w:pPr>
            <w:r>
              <w:rPr>
                <w:rFonts w:ascii="Times New Roman" w:cs="Times New Roman" w:eastAsia="Times New Roman" w:hAnsi="Times New Roman"/>
                <w:sz w:val="13"/>
                <w:szCs w:val="13"/>
                <w:i w:val="1"/>
                <w:iCs w:val="1"/>
                <w:color w:val="auto"/>
              </w:rPr>
              <w:t>15.98%</w:t>
            </w:r>
          </w:p>
        </w:tc>
        <w:tc>
          <w:tcPr>
            <w:tcW w:w="900" w:type="dxa"/>
            <w:vAlign w:val="bottom"/>
            <w:shd w:val="clear" w:color="auto" w:fill="CCEEFF"/>
          </w:tcPr>
          <w:p>
            <w:pPr>
              <w:jc w:val="center"/>
              <w:ind w:left="53"/>
              <w:spacing w:after="0"/>
              <w:rPr>
                <w:sz w:val="20"/>
                <w:szCs w:val="20"/>
                <w:color w:val="auto"/>
              </w:rPr>
            </w:pPr>
            <w:r>
              <w:rPr>
                <w:rFonts w:ascii="Times New Roman" w:cs="Times New Roman" w:eastAsia="Times New Roman" w:hAnsi="Times New Roman"/>
                <w:sz w:val="13"/>
                <w:szCs w:val="13"/>
                <w:i w:val="1"/>
                <w:iCs w:val="1"/>
                <w:color w:val="auto"/>
              </w:rPr>
              <w:t>13.32%</w:t>
            </w:r>
          </w:p>
        </w:tc>
        <w:tc>
          <w:tcPr>
            <w:tcW w:w="7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i w:val="1"/>
                <w:iCs w:val="1"/>
                <w:color w:val="auto"/>
              </w:rPr>
              <w:t>7.26%</w:t>
            </w:r>
          </w:p>
        </w:tc>
        <w:tc>
          <w:tcPr>
            <w:tcW w:w="860" w:type="dxa"/>
            <w:vAlign w:val="bottom"/>
            <w:shd w:val="clear" w:color="auto" w:fill="CCEEFF"/>
          </w:tcPr>
          <w:p>
            <w:pPr>
              <w:jc w:val="center"/>
              <w:ind w:right="13"/>
              <w:spacing w:after="0"/>
              <w:rPr>
                <w:sz w:val="20"/>
                <w:szCs w:val="20"/>
                <w:color w:val="auto"/>
              </w:rPr>
            </w:pPr>
            <w:r>
              <w:rPr>
                <w:rFonts w:ascii="Times New Roman" w:cs="Times New Roman" w:eastAsia="Times New Roman" w:hAnsi="Times New Roman"/>
                <w:sz w:val="13"/>
                <w:szCs w:val="13"/>
                <w:i w:val="1"/>
                <w:iCs w:val="1"/>
                <w:color w:val="auto"/>
              </w:rPr>
              <w:t>10.90%</w:t>
            </w:r>
          </w:p>
        </w:tc>
        <w:tc>
          <w:tcPr>
            <w:tcW w:w="920" w:type="dxa"/>
            <w:vAlign w:val="bottom"/>
            <w:shd w:val="clear" w:color="auto" w:fill="CCEEFF"/>
          </w:tcPr>
          <w:p>
            <w:pPr>
              <w:jc w:val="center"/>
              <w:ind w:right="73"/>
              <w:spacing w:after="0"/>
              <w:rPr>
                <w:sz w:val="20"/>
                <w:szCs w:val="20"/>
                <w:color w:val="auto"/>
              </w:rPr>
            </w:pPr>
            <w:r>
              <w:rPr>
                <w:rFonts w:ascii="Times New Roman" w:cs="Times New Roman" w:eastAsia="Times New Roman" w:hAnsi="Times New Roman"/>
                <w:sz w:val="13"/>
                <w:szCs w:val="13"/>
                <w:i w:val="1"/>
                <w:iCs w:val="1"/>
                <w:color w:val="auto"/>
              </w:rPr>
              <w:t>10.28%</w:t>
            </w:r>
          </w:p>
        </w:tc>
        <w:tc>
          <w:tcPr>
            <w:tcW w:w="10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3"/>
        </w:trPr>
        <w:tc>
          <w:tcPr>
            <w:tcW w:w="3620" w:type="dxa"/>
            <w:vAlign w:val="bottom"/>
          </w:tcPr>
          <w:p>
            <w:pPr>
              <w:ind w:left="140"/>
              <w:spacing w:after="0"/>
              <w:rPr>
                <w:sz w:val="20"/>
                <w:szCs w:val="20"/>
                <w:color w:val="auto"/>
              </w:rPr>
            </w:pPr>
            <w:r>
              <w:rPr>
                <w:rFonts w:ascii="Times New Roman" w:cs="Times New Roman" w:eastAsia="Times New Roman" w:hAnsi="Times New Roman"/>
                <w:sz w:val="13"/>
                <w:szCs w:val="13"/>
                <w:i w:val="1"/>
                <w:iCs w:val="1"/>
                <w:color w:val="auto"/>
              </w:rPr>
              <w:t>Russell® Midcap Growth Index</w:t>
            </w:r>
          </w:p>
        </w:tc>
        <w:tc>
          <w:tcPr>
            <w:tcW w:w="10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60" w:type="dxa"/>
            <w:vAlign w:val="bottom"/>
          </w:tcPr>
          <w:p>
            <w:pPr>
              <w:jc w:val="center"/>
              <w:ind w:left="33"/>
              <w:spacing w:after="0"/>
              <w:rPr>
                <w:sz w:val="20"/>
                <w:szCs w:val="20"/>
                <w:color w:val="auto"/>
              </w:rPr>
            </w:pPr>
            <w:r>
              <w:rPr>
                <w:rFonts w:ascii="Times New Roman" w:cs="Times New Roman" w:eastAsia="Times New Roman" w:hAnsi="Times New Roman"/>
                <w:sz w:val="13"/>
                <w:szCs w:val="13"/>
                <w:i w:val="1"/>
                <w:iCs w:val="1"/>
                <w:color w:val="auto"/>
              </w:rPr>
              <w:t>9.56%</w:t>
            </w:r>
          </w:p>
        </w:tc>
        <w:tc>
          <w:tcPr>
            <w:tcW w:w="900" w:type="dxa"/>
            <w:vAlign w:val="bottom"/>
          </w:tcPr>
          <w:p>
            <w:pPr>
              <w:jc w:val="center"/>
              <w:ind w:left="53"/>
              <w:spacing w:after="0"/>
              <w:rPr>
                <w:sz w:val="20"/>
                <w:szCs w:val="20"/>
                <w:color w:val="auto"/>
              </w:rPr>
            </w:pPr>
            <w:r>
              <w:rPr>
                <w:rFonts w:ascii="Times New Roman" w:cs="Times New Roman" w:eastAsia="Times New Roman" w:hAnsi="Times New Roman"/>
                <w:sz w:val="13"/>
                <w:szCs w:val="13"/>
                <w:i w:val="1"/>
                <w:iCs w:val="1"/>
                <w:color w:val="auto"/>
              </w:rPr>
              <w:t>12.73%</w:t>
            </w:r>
          </w:p>
        </w:tc>
        <w:tc>
          <w:tcPr>
            <w:tcW w:w="780" w:type="dxa"/>
            <w:vAlign w:val="bottom"/>
          </w:tcPr>
          <w:p>
            <w:pPr>
              <w:jc w:val="center"/>
              <w:spacing w:after="0"/>
              <w:rPr>
                <w:sz w:val="20"/>
                <w:szCs w:val="20"/>
                <w:color w:val="auto"/>
              </w:rPr>
            </w:pPr>
            <w:r>
              <w:rPr>
                <w:rFonts w:ascii="Times New Roman" w:cs="Times New Roman" w:eastAsia="Times New Roman" w:hAnsi="Times New Roman"/>
                <w:sz w:val="13"/>
                <w:szCs w:val="13"/>
                <w:i w:val="1"/>
                <w:iCs w:val="1"/>
                <w:color w:val="auto"/>
              </w:rPr>
              <w:t>5.37%</w:t>
            </w:r>
          </w:p>
        </w:tc>
        <w:tc>
          <w:tcPr>
            <w:tcW w:w="860" w:type="dxa"/>
            <w:vAlign w:val="bottom"/>
          </w:tcPr>
          <w:p>
            <w:pPr>
              <w:jc w:val="center"/>
              <w:ind w:right="13"/>
              <w:spacing w:after="0"/>
              <w:rPr>
                <w:sz w:val="20"/>
                <w:szCs w:val="20"/>
                <w:color w:val="auto"/>
              </w:rPr>
            </w:pPr>
            <w:r>
              <w:rPr>
                <w:rFonts w:ascii="Times New Roman" w:cs="Times New Roman" w:eastAsia="Times New Roman" w:hAnsi="Times New Roman"/>
                <w:sz w:val="13"/>
                <w:szCs w:val="13"/>
                <w:i w:val="1"/>
                <w:iCs w:val="1"/>
                <w:color w:val="auto"/>
              </w:rPr>
              <w:t>11.68%</w:t>
            </w:r>
          </w:p>
        </w:tc>
        <w:tc>
          <w:tcPr>
            <w:tcW w:w="920" w:type="dxa"/>
            <w:vAlign w:val="bottom"/>
          </w:tcPr>
          <w:p>
            <w:pPr>
              <w:jc w:val="center"/>
              <w:ind w:right="93"/>
              <w:spacing w:after="0"/>
              <w:rPr>
                <w:sz w:val="20"/>
                <w:szCs w:val="20"/>
                <w:color w:val="auto"/>
              </w:rPr>
            </w:pPr>
            <w:r>
              <w:rPr>
                <w:rFonts w:ascii="Times New Roman" w:cs="Times New Roman" w:eastAsia="Times New Roman" w:hAnsi="Times New Roman"/>
                <w:sz w:val="13"/>
                <w:szCs w:val="13"/>
                <w:i w:val="1"/>
                <w:iCs w:val="1"/>
                <w:color w:val="auto"/>
              </w:rPr>
              <w:t>9.59%</w:t>
            </w:r>
          </w:p>
        </w:tc>
        <w:tc>
          <w:tcPr>
            <w:tcW w:w="10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3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U.S. Small-Cap Growth Strategy</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4/1/1995</w:t>
            </w:r>
          </w:p>
        </w:tc>
        <w:tc>
          <w:tcPr>
            <w:tcW w:w="500" w:type="dxa"/>
            <w:vAlign w:val="bottom"/>
            <w:shd w:val="clear" w:color="auto" w:fill="CCEEFF"/>
          </w:tcPr>
          <w:p>
            <w:pPr>
              <w:jc w:val="right"/>
              <w:ind w:right="294"/>
              <w:spacing w:after="0"/>
              <w:rPr>
                <w:sz w:val="20"/>
                <w:szCs w:val="20"/>
                <w:color w:val="auto"/>
              </w:rPr>
            </w:pPr>
            <w:r>
              <w:rPr>
                <w:rFonts w:ascii="Times New Roman" w:cs="Times New Roman" w:eastAsia="Times New Roman" w:hAnsi="Times New Roman"/>
                <w:sz w:val="13"/>
                <w:szCs w:val="13"/>
                <w:color w:val="auto"/>
              </w:rPr>
              <w:t>$</w:t>
            </w:r>
          </w:p>
        </w:tc>
        <w:tc>
          <w:tcPr>
            <w:tcW w:w="580" w:type="dxa"/>
            <w:vAlign w:val="bottom"/>
            <w:shd w:val="clear" w:color="auto" w:fill="CCEEFF"/>
          </w:tcPr>
          <w:p>
            <w:pPr>
              <w:jc w:val="right"/>
              <w:ind w:right="93"/>
              <w:spacing w:after="0"/>
              <w:rPr>
                <w:sz w:val="20"/>
                <w:szCs w:val="20"/>
                <w:color w:val="auto"/>
              </w:rPr>
            </w:pPr>
            <w:r>
              <w:rPr>
                <w:rFonts w:ascii="Times New Roman" w:cs="Times New Roman" w:eastAsia="Times New Roman" w:hAnsi="Times New Roman"/>
                <w:sz w:val="13"/>
                <w:szCs w:val="13"/>
                <w:color w:val="auto"/>
              </w:rPr>
              <w:t>2,642</w:t>
            </w:r>
          </w:p>
        </w:tc>
        <w:tc>
          <w:tcPr>
            <w:tcW w:w="660" w:type="dxa"/>
            <w:vAlign w:val="bottom"/>
            <w:shd w:val="clear" w:color="auto" w:fill="CCEEFF"/>
          </w:tcPr>
          <w:p>
            <w:pPr>
              <w:jc w:val="center"/>
              <w:ind w:left="53"/>
              <w:spacing w:after="0"/>
              <w:rPr>
                <w:sz w:val="20"/>
                <w:szCs w:val="20"/>
                <w:color w:val="auto"/>
              </w:rPr>
            </w:pPr>
            <w:r>
              <w:rPr>
                <w:rFonts w:ascii="Times New Roman" w:cs="Times New Roman" w:eastAsia="Times New Roman" w:hAnsi="Times New Roman"/>
                <w:sz w:val="13"/>
                <w:szCs w:val="13"/>
                <w:color w:val="auto"/>
              </w:rPr>
              <w:t>18.67%</w:t>
            </w:r>
          </w:p>
        </w:tc>
        <w:tc>
          <w:tcPr>
            <w:tcW w:w="900" w:type="dxa"/>
            <w:vAlign w:val="bottom"/>
            <w:shd w:val="clear" w:color="auto" w:fill="CCEEFF"/>
          </w:tcPr>
          <w:p>
            <w:pPr>
              <w:jc w:val="center"/>
              <w:ind w:left="53"/>
              <w:spacing w:after="0"/>
              <w:rPr>
                <w:sz w:val="20"/>
                <w:szCs w:val="20"/>
                <w:color w:val="auto"/>
              </w:rPr>
            </w:pPr>
            <w:r>
              <w:rPr>
                <w:rFonts w:ascii="Times New Roman" w:cs="Times New Roman" w:eastAsia="Times New Roman" w:hAnsi="Times New Roman"/>
                <w:sz w:val="13"/>
                <w:szCs w:val="13"/>
                <w:color w:val="auto"/>
              </w:rPr>
              <w:t>8.49%</w:t>
            </w:r>
          </w:p>
        </w:tc>
        <w:tc>
          <w:tcPr>
            <w:tcW w:w="7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(0.93)%</w:t>
            </w:r>
          </w:p>
        </w:tc>
        <w:tc>
          <w:tcPr>
            <w:tcW w:w="860" w:type="dxa"/>
            <w:vAlign w:val="bottom"/>
            <w:shd w:val="clear" w:color="auto" w:fill="CCEEFF"/>
          </w:tcPr>
          <w:p>
            <w:pPr>
              <w:jc w:val="center"/>
              <w:ind w:right="13"/>
              <w:spacing w:after="0"/>
              <w:rPr>
                <w:sz w:val="20"/>
                <w:szCs w:val="20"/>
                <w:color w:val="auto"/>
              </w:rPr>
            </w:pPr>
            <w:r>
              <w:rPr>
                <w:rFonts w:ascii="Times New Roman" w:cs="Times New Roman" w:eastAsia="Times New Roman" w:hAnsi="Times New Roman"/>
                <w:sz w:val="13"/>
                <w:szCs w:val="13"/>
                <w:color w:val="auto"/>
              </w:rPr>
              <w:t>12.25%</w:t>
            </w:r>
          </w:p>
        </w:tc>
        <w:tc>
          <w:tcPr>
            <w:tcW w:w="920" w:type="dxa"/>
            <w:vAlign w:val="bottom"/>
            <w:shd w:val="clear" w:color="auto" w:fill="CCEEFF"/>
          </w:tcPr>
          <w:p>
            <w:pPr>
              <w:jc w:val="center"/>
              <w:ind w:right="73"/>
              <w:spacing w:after="0"/>
              <w:rPr>
                <w:sz w:val="20"/>
                <w:szCs w:val="20"/>
                <w:color w:val="auto"/>
              </w:rPr>
            </w:pPr>
            <w:r>
              <w:rPr>
                <w:rFonts w:ascii="Times New Roman" w:cs="Times New Roman" w:eastAsia="Times New Roman" w:hAnsi="Times New Roman"/>
                <w:sz w:val="13"/>
                <w:szCs w:val="13"/>
                <w:color w:val="auto"/>
              </w:rPr>
              <w:t>10.38%</w:t>
            </w:r>
          </w:p>
        </w:tc>
        <w:tc>
          <w:tcPr>
            <w:tcW w:w="1060" w:type="dxa"/>
            <w:vAlign w:val="bottom"/>
            <w:shd w:val="clear" w:color="auto" w:fill="CCEEFF"/>
          </w:tcPr>
          <w:p>
            <w:pPr>
              <w:jc w:val="center"/>
              <w:ind w:left="353"/>
              <w:spacing w:after="0"/>
              <w:rPr>
                <w:sz w:val="20"/>
                <w:szCs w:val="20"/>
                <w:color w:val="auto"/>
              </w:rPr>
            </w:pPr>
            <w:r>
              <w:rPr>
                <w:rFonts w:ascii="Times New Roman" w:cs="Times New Roman" w:eastAsia="Times New Roman" w:hAnsi="Times New Roman"/>
                <w:sz w:val="13"/>
                <w:szCs w:val="13"/>
                <w:color w:val="auto"/>
              </w:rPr>
              <w:t>259</w:t>
            </w:r>
          </w:p>
        </w:tc>
        <w:tc>
          <w:tcPr>
            <w:tcW w:w="3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3620" w:type="dxa"/>
            <w:vAlign w:val="bottom"/>
          </w:tcPr>
          <w:p>
            <w:pPr>
              <w:ind w:left="140"/>
              <w:spacing w:after="0"/>
              <w:rPr>
                <w:sz w:val="20"/>
                <w:szCs w:val="20"/>
                <w:color w:val="auto"/>
              </w:rPr>
            </w:pPr>
            <w:r>
              <w:rPr>
                <w:rFonts w:ascii="Times New Roman" w:cs="Times New Roman" w:eastAsia="Times New Roman" w:hAnsi="Times New Roman"/>
                <w:sz w:val="13"/>
                <w:szCs w:val="13"/>
                <w:i w:val="1"/>
                <w:iCs w:val="1"/>
                <w:color w:val="auto"/>
              </w:rPr>
              <w:t>Russell® 2000 Index</w:t>
            </w:r>
          </w:p>
        </w:tc>
        <w:tc>
          <w:tcPr>
            <w:tcW w:w="10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60" w:type="dxa"/>
            <w:vAlign w:val="bottom"/>
          </w:tcPr>
          <w:p>
            <w:pPr>
              <w:jc w:val="center"/>
              <w:ind w:left="53"/>
              <w:spacing w:after="0"/>
              <w:rPr>
                <w:sz w:val="20"/>
                <w:szCs w:val="20"/>
                <w:color w:val="auto"/>
              </w:rPr>
            </w:pPr>
            <w:r>
              <w:rPr>
                <w:rFonts w:ascii="Times New Roman" w:cs="Times New Roman" w:eastAsia="Times New Roman" w:hAnsi="Times New Roman"/>
                <w:sz w:val="13"/>
                <w:szCs w:val="13"/>
                <w:i w:val="1"/>
                <w:iCs w:val="1"/>
                <w:color w:val="auto"/>
              </w:rPr>
              <w:t>25.72%</w:t>
            </w:r>
          </w:p>
        </w:tc>
        <w:tc>
          <w:tcPr>
            <w:tcW w:w="900" w:type="dxa"/>
            <w:vAlign w:val="bottom"/>
          </w:tcPr>
          <w:p>
            <w:pPr>
              <w:jc w:val="center"/>
              <w:ind w:left="53"/>
              <w:spacing w:after="0"/>
              <w:rPr>
                <w:sz w:val="20"/>
                <w:szCs w:val="20"/>
                <w:color w:val="auto"/>
              </w:rPr>
            </w:pPr>
            <w:r>
              <w:rPr>
                <w:rFonts w:ascii="Times New Roman" w:cs="Times New Roman" w:eastAsia="Times New Roman" w:hAnsi="Times New Roman"/>
                <w:sz w:val="13"/>
                <w:szCs w:val="13"/>
                <w:i w:val="1"/>
                <w:iCs w:val="1"/>
                <w:color w:val="auto"/>
              </w:rPr>
              <w:t>13.03%</w:t>
            </w:r>
          </w:p>
        </w:tc>
        <w:tc>
          <w:tcPr>
            <w:tcW w:w="780" w:type="dxa"/>
            <w:vAlign w:val="bottom"/>
          </w:tcPr>
          <w:p>
            <w:pPr>
              <w:jc w:val="center"/>
              <w:spacing w:after="0"/>
              <w:rPr>
                <w:sz w:val="20"/>
                <w:szCs w:val="20"/>
                <w:color w:val="auto"/>
              </w:rPr>
            </w:pPr>
            <w:r>
              <w:rPr>
                <w:rFonts w:ascii="Times New Roman" w:cs="Times New Roman" w:eastAsia="Times New Roman" w:hAnsi="Times New Roman"/>
                <w:sz w:val="13"/>
                <w:szCs w:val="13"/>
                <w:i w:val="1"/>
                <w:iCs w:val="1"/>
                <w:color w:val="auto"/>
              </w:rPr>
              <w:t>3.77%</w:t>
            </w:r>
          </w:p>
        </w:tc>
        <w:tc>
          <w:tcPr>
            <w:tcW w:w="860" w:type="dxa"/>
            <w:vAlign w:val="bottom"/>
          </w:tcPr>
          <w:p>
            <w:pPr>
              <w:jc w:val="center"/>
              <w:ind w:right="13"/>
              <w:spacing w:after="0"/>
              <w:rPr>
                <w:sz w:val="20"/>
                <w:szCs w:val="20"/>
                <w:color w:val="auto"/>
              </w:rPr>
            </w:pPr>
            <w:r>
              <w:rPr>
                <w:rFonts w:ascii="Times New Roman" w:cs="Times New Roman" w:eastAsia="Times New Roman" w:hAnsi="Times New Roman"/>
                <w:sz w:val="13"/>
                <w:szCs w:val="13"/>
                <w:i w:val="1"/>
                <w:iCs w:val="1"/>
                <w:color w:val="auto"/>
              </w:rPr>
              <w:t>9.88%</w:t>
            </w:r>
          </w:p>
        </w:tc>
        <w:tc>
          <w:tcPr>
            <w:tcW w:w="920" w:type="dxa"/>
            <w:vAlign w:val="bottom"/>
          </w:tcPr>
          <w:p>
            <w:pPr>
              <w:jc w:val="center"/>
              <w:ind w:right="93"/>
              <w:spacing w:after="0"/>
              <w:rPr>
                <w:sz w:val="20"/>
                <w:szCs w:val="20"/>
                <w:color w:val="auto"/>
              </w:rPr>
            </w:pPr>
            <w:r>
              <w:rPr>
                <w:rFonts w:ascii="Times New Roman" w:cs="Times New Roman" w:eastAsia="Times New Roman" w:hAnsi="Times New Roman"/>
                <w:sz w:val="13"/>
                <w:szCs w:val="13"/>
                <w:i w:val="1"/>
                <w:iCs w:val="1"/>
                <w:color w:val="auto"/>
              </w:rPr>
              <w:t>9.01%</w:t>
            </w:r>
          </w:p>
        </w:tc>
        <w:tc>
          <w:tcPr>
            <w:tcW w:w="10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36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i w:val="1"/>
                <w:iCs w:val="1"/>
                <w:color w:val="auto"/>
              </w:rPr>
              <w:t>Russell® 2000 Growth Index</w:t>
            </w:r>
          </w:p>
        </w:tc>
        <w:tc>
          <w:tcPr>
            <w:tcW w:w="100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660" w:type="dxa"/>
            <w:vAlign w:val="bottom"/>
            <w:shd w:val="clear" w:color="auto" w:fill="CCEEFF"/>
          </w:tcPr>
          <w:p>
            <w:pPr>
              <w:jc w:val="center"/>
              <w:ind w:left="53"/>
              <w:spacing w:after="0"/>
              <w:rPr>
                <w:sz w:val="20"/>
                <w:szCs w:val="20"/>
                <w:color w:val="auto"/>
              </w:rPr>
            </w:pPr>
            <w:r>
              <w:rPr>
                <w:rFonts w:ascii="Times New Roman" w:cs="Times New Roman" w:eastAsia="Times New Roman" w:hAnsi="Times New Roman"/>
                <w:sz w:val="13"/>
                <w:szCs w:val="13"/>
                <w:i w:val="1"/>
                <w:iCs w:val="1"/>
                <w:color w:val="auto"/>
              </w:rPr>
              <w:t>23.58%</w:t>
            </w:r>
          </w:p>
        </w:tc>
        <w:tc>
          <w:tcPr>
            <w:tcW w:w="900" w:type="dxa"/>
            <w:vAlign w:val="bottom"/>
            <w:shd w:val="clear" w:color="auto" w:fill="CCEEFF"/>
          </w:tcPr>
          <w:p>
            <w:pPr>
              <w:jc w:val="center"/>
              <w:ind w:left="53"/>
              <w:spacing w:after="0"/>
              <w:rPr>
                <w:sz w:val="20"/>
                <w:szCs w:val="20"/>
                <w:color w:val="auto"/>
              </w:rPr>
            </w:pPr>
            <w:r>
              <w:rPr>
                <w:rFonts w:ascii="Times New Roman" w:cs="Times New Roman" w:eastAsia="Times New Roman" w:hAnsi="Times New Roman"/>
                <w:sz w:val="13"/>
                <w:szCs w:val="13"/>
                <w:i w:val="1"/>
                <w:iCs w:val="1"/>
                <w:color w:val="auto"/>
              </w:rPr>
              <w:t>12.25%</w:t>
            </w:r>
          </w:p>
        </w:tc>
        <w:tc>
          <w:tcPr>
            <w:tcW w:w="7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i w:val="1"/>
                <w:iCs w:val="1"/>
                <w:color w:val="auto"/>
              </w:rPr>
              <w:t>1.62%</w:t>
            </w:r>
          </w:p>
        </w:tc>
        <w:tc>
          <w:tcPr>
            <w:tcW w:w="860" w:type="dxa"/>
            <w:vAlign w:val="bottom"/>
            <w:shd w:val="clear" w:color="auto" w:fill="CCEEFF"/>
          </w:tcPr>
          <w:p>
            <w:pPr>
              <w:jc w:val="center"/>
              <w:ind w:right="13"/>
              <w:spacing w:after="0"/>
              <w:rPr>
                <w:sz w:val="20"/>
                <w:szCs w:val="20"/>
                <w:color w:val="auto"/>
              </w:rPr>
            </w:pPr>
            <w:r>
              <w:rPr>
                <w:rFonts w:ascii="Times New Roman" w:cs="Times New Roman" w:eastAsia="Times New Roman" w:hAnsi="Times New Roman"/>
                <w:sz w:val="13"/>
                <w:szCs w:val="13"/>
                <w:i w:val="1"/>
                <w:iCs w:val="1"/>
                <w:color w:val="auto"/>
              </w:rPr>
              <w:t>9.78%</w:t>
            </w:r>
          </w:p>
        </w:tc>
        <w:tc>
          <w:tcPr>
            <w:tcW w:w="920" w:type="dxa"/>
            <w:vAlign w:val="bottom"/>
            <w:shd w:val="clear" w:color="auto" w:fill="CCEEFF"/>
          </w:tcPr>
          <w:p>
            <w:pPr>
              <w:jc w:val="center"/>
              <w:ind w:right="93"/>
              <w:spacing w:after="0"/>
              <w:rPr>
                <w:sz w:val="20"/>
                <w:szCs w:val="20"/>
                <w:color w:val="auto"/>
              </w:rPr>
            </w:pPr>
            <w:r>
              <w:rPr>
                <w:rFonts w:ascii="Times New Roman" w:cs="Times New Roman" w:eastAsia="Times New Roman" w:hAnsi="Times New Roman"/>
                <w:sz w:val="13"/>
                <w:szCs w:val="13"/>
                <w:i w:val="1"/>
                <w:iCs w:val="1"/>
                <w:color w:val="auto"/>
              </w:rPr>
              <w:t>7.79%</w:t>
            </w:r>
          </w:p>
        </w:tc>
        <w:tc>
          <w:tcPr>
            <w:tcW w:w="106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2"/>
        </w:trPr>
        <w:tc>
          <w:tcPr>
            <w:tcW w:w="36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Franchise Strategy</w:t>
            </w: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10/1/2024</w:t>
            </w:r>
          </w:p>
        </w:tc>
        <w:tc>
          <w:tcPr>
            <w:tcW w:w="500" w:type="dxa"/>
            <w:vAlign w:val="bottom"/>
          </w:tcPr>
          <w:p>
            <w:pPr>
              <w:jc w:val="right"/>
              <w:ind w:right="294"/>
              <w:spacing w:after="0"/>
              <w:rPr>
                <w:sz w:val="20"/>
                <w:szCs w:val="20"/>
                <w:color w:val="auto"/>
              </w:rPr>
            </w:pPr>
            <w:r>
              <w:rPr>
                <w:rFonts w:ascii="Times New Roman" w:cs="Times New Roman" w:eastAsia="Times New Roman" w:hAnsi="Times New Roman"/>
                <w:sz w:val="13"/>
                <w:szCs w:val="13"/>
                <w:color w:val="auto"/>
              </w:rPr>
              <w:t>$</w:t>
            </w:r>
          </w:p>
        </w:tc>
        <w:tc>
          <w:tcPr>
            <w:tcW w:w="580" w:type="dxa"/>
            <w:vAlign w:val="bottom"/>
          </w:tcPr>
          <w:p>
            <w:pPr>
              <w:jc w:val="right"/>
              <w:ind w:right="93"/>
              <w:spacing w:after="0"/>
              <w:rPr>
                <w:sz w:val="20"/>
                <w:szCs w:val="20"/>
                <w:color w:val="auto"/>
              </w:rPr>
            </w:pPr>
            <w:r>
              <w:rPr>
                <w:rFonts w:ascii="Times New Roman" w:cs="Times New Roman" w:eastAsia="Times New Roman" w:hAnsi="Times New Roman"/>
                <w:sz w:val="13"/>
                <w:szCs w:val="13"/>
                <w:color w:val="auto"/>
              </w:rPr>
              <w:t>911</w:t>
            </w:r>
          </w:p>
        </w:tc>
        <w:tc>
          <w:tcPr>
            <w:tcW w:w="660" w:type="dxa"/>
            <w:vAlign w:val="bottom"/>
          </w:tcPr>
          <w:p>
            <w:pPr>
              <w:jc w:val="center"/>
              <w:ind w:left="53"/>
              <w:spacing w:after="0"/>
              <w:rPr>
                <w:sz w:val="20"/>
                <w:szCs w:val="20"/>
                <w:color w:val="auto"/>
              </w:rPr>
            </w:pPr>
            <w:r>
              <w:rPr>
                <w:rFonts w:ascii="Times New Roman" w:cs="Times New Roman" w:eastAsia="Times New Roman" w:hAnsi="Times New Roman"/>
                <w:sz w:val="13"/>
                <w:szCs w:val="13"/>
                <w:color w:val="auto"/>
              </w:rPr>
              <w:t>17.39%</w:t>
            </w:r>
          </w:p>
        </w:tc>
        <w:tc>
          <w:tcPr>
            <w:tcW w:w="900" w:type="dxa"/>
            <w:vAlign w:val="bottom"/>
          </w:tcPr>
          <w:p>
            <w:pPr>
              <w:jc w:val="center"/>
              <w:ind w:left="53"/>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w:t>
            </w:r>
          </w:p>
        </w:tc>
        <w:tc>
          <w:tcPr>
            <w:tcW w:w="860" w:type="dxa"/>
            <w:vAlign w:val="bottom"/>
          </w:tcPr>
          <w:p>
            <w:pPr>
              <w:jc w:val="center"/>
              <w:ind w:right="13"/>
              <w:spacing w:after="0"/>
              <w:rPr>
                <w:sz w:val="20"/>
                <w:szCs w:val="20"/>
                <w:color w:val="auto"/>
              </w:rPr>
            </w:pPr>
            <w:r>
              <w:rPr>
                <w:rFonts w:ascii="Times New Roman" w:cs="Times New Roman" w:eastAsia="Times New Roman" w:hAnsi="Times New Roman"/>
                <w:sz w:val="13"/>
                <w:szCs w:val="13"/>
                <w:color w:val="auto"/>
              </w:rPr>
              <w:t>---</w:t>
            </w:r>
          </w:p>
        </w:tc>
        <w:tc>
          <w:tcPr>
            <w:tcW w:w="920" w:type="dxa"/>
            <w:vAlign w:val="bottom"/>
          </w:tcPr>
          <w:p>
            <w:pPr>
              <w:jc w:val="center"/>
              <w:ind w:right="93"/>
              <w:spacing w:after="0"/>
              <w:rPr>
                <w:sz w:val="20"/>
                <w:szCs w:val="20"/>
                <w:color w:val="auto"/>
              </w:rPr>
            </w:pPr>
            <w:r>
              <w:rPr>
                <w:rFonts w:ascii="Times New Roman" w:cs="Times New Roman" w:eastAsia="Times New Roman" w:hAnsi="Times New Roman"/>
                <w:sz w:val="13"/>
                <w:szCs w:val="13"/>
                <w:color w:val="auto"/>
              </w:rPr>
              <w:t>7.31%</w:t>
            </w:r>
          </w:p>
        </w:tc>
        <w:tc>
          <w:tcPr>
            <w:tcW w:w="1060" w:type="dxa"/>
            <w:vAlign w:val="bottom"/>
          </w:tcPr>
          <w:p>
            <w:pPr>
              <w:jc w:val="center"/>
              <w:ind w:left="333"/>
              <w:spacing w:after="0"/>
              <w:rPr>
                <w:sz w:val="20"/>
                <w:szCs w:val="20"/>
                <w:color w:val="auto"/>
              </w:rPr>
            </w:pPr>
            <w:r>
              <w:rPr>
                <w:rFonts w:ascii="Times New Roman" w:cs="Times New Roman" w:eastAsia="Times New Roman" w:hAnsi="Times New Roman"/>
                <w:sz w:val="13"/>
                <w:szCs w:val="13"/>
                <w:color w:val="auto"/>
              </w:rPr>
              <w:t>(389)</w:t>
            </w:r>
          </w:p>
        </w:tc>
        <w:tc>
          <w:tcPr>
            <w:tcW w:w="3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36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i w:val="1"/>
                <w:iCs w:val="1"/>
                <w:color w:val="auto"/>
              </w:rPr>
              <w:t>MSCI All Country World Index</w:t>
            </w:r>
          </w:p>
        </w:tc>
        <w:tc>
          <w:tcPr>
            <w:tcW w:w="10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660" w:type="dxa"/>
            <w:vAlign w:val="bottom"/>
            <w:shd w:val="clear" w:color="auto" w:fill="CCEEFF"/>
          </w:tcPr>
          <w:p>
            <w:pPr>
              <w:jc w:val="center"/>
              <w:ind w:left="53"/>
              <w:spacing w:after="0"/>
              <w:rPr>
                <w:sz w:val="20"/>
                <w:szCs w:val="20"/>
                <w:color w:val="auto"/>
              </w:rPr>
            </w:pPr>
            <w:r>
              <w:rPr>
                <w:rFonts w:ascii="Times New Roman" w:cs="Times New Roman" w:eastAsia="Times New Roman" w:hAnsi="Times New Roman"/>
                <w:sz w:val="13"/>
                <w:szCs w:val="13"/>
                <w:i w:val="1"/>
                <w:iCs w:val="1"/>
                <w:color w:val="auto"/>
              </w:rPr>
              <w:t>20.01%</w:t>
            </w:r>
          </w:p>
        </w:tc>
        <w:tc>
          <w:tcPr>
            <w:tcW w:w="900" w:type="dxa"/>
            <w:vAlign w:val="bottom"/>
            <w:shd w:val="clear" w:color="auto" w:fill="CCEEFF"/>
          </w:tcPr>
          <w:p>
            <w:pPr>
              <w:jc w:val="center"/>
              <w:ind w:left="53"/>
              <w:spacing w:after="0"/>
              <w:rPr>
                <w:sz w:val="20"/>
                <w:szCs w:val="20"/>
                <w:color w:val="auto"/>
              </w:rPr>
            </w:pPr>
            <w:r>
              <w:rPr>
                <w:rFonts w:ascii="Times New Roman" w:cs="Times New Roman" w:eastAsia="Times New Roman" w:hAnsi="Times New Roman"/>
                <w:sz w:val="13"/>
                <w:szCs w:val="13"/>
                <w:i w:val="1"/>
                <w:iCs w:val="1"/>
                <w:color w:val="auto"/>
              </w:rPr>
              <w:t>---</w:t>
            </w:r>
          </w:p>
        </w:tc>
        <w:tc>
          <w:tcPr>
            <w:tcW w:w="7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i w:val="1"/>
                <w:iCs w:val="1"/>
                <w:color w:val="auto"/>
              </w:rPr>
              <w:t>---</w:t>
            </w:r>
          </w:p>
        </w:tc>
        <w:tc>
          <w:tcPr>
            <w:tcW w:w="860" w:type="dxa"/>
            <w:vAlign w:val="bottom"/>
            <w:shd w:val="clear" w:color="auto" w:fill="CCEEFF"/>
          </w:tcPr>
          <w:p>
            <w:pPr>
              <w:jc w:val="center"/>
              <w:ind w:right="13"/>
              <w:spacing w:after="0"/>
              <w:rPr>
                <w:sz w:val="20"/>
                <w:szCs w:val="20"/>
                <w:color w:val="auto"/>
              </w:rPr>
            </w:pPr>
            <w:r>
              <w:rPr>
                <w:rFonts w:ascii="Times New Roman" w:cs="Times New Roman" w:eastAsia="Times New Roman" w:hAnsi="Times New Roman"/>
                <w:sz w:val="13"/>
                <w:szCs w:val="13"/>
                <w:i w:val="1"/>
                <w:iCs w:val="1"/>
                <w:color w:val="auto"/>
              </w:rPr>
              <w:t>---</w:t>
            </w:r>
          </w:p>
        </w:tc>
        <w:tc>
          <w:tcPr>
            <w:tcW w:w="920" w:type="dxa"/>
            <w:vAlign w:val="bottom"/>
            <w:shd w:val="clear" w:color="auto" w:fill="CCEEFF"/>
          </w:tcPr>
          <w:p>
            <w:pPr>
              <w:jc w:val="center"/>
              <w:ind w:right="93"/>
              <w:spacing w:after="0"/>
              <w:rPr>
                <w:sz w:val="20"/>
                <w:szCs w:val="20"/>
                <w:color w:val="auto"/>
              </w:rPr>
            </w:pPr>
            <w:r>
              <w:rPr>
                <w:rFonts w:ascii="Times New Roman" w:cs="Times New Roman" w:eastAsia="Times New Roman" w:hAnsi="Times New Roman"/>
                <w:sz w:val="13"/>
                <w:szCs w:val="13"/>
                <w:i w:val="1"/>
                <w:iCs w:val="1"/>
                <w:color w:val="auto"/>
                <w:w w:val="99"/>
              </w:rPr>
              <w:t>11.20%</w:t>
            </w:r>
          </w:p>
        </w:tc>
        <w:tc>
          <w:tcPr>
            <w:tcW w:w="10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4"/>
        </w:trPr>
        <w:tc>
          <w:tcPr>
            <w:tcW w:w="362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Global Equity Team</w:t>
            </w:r>
          </w:p>
        </w:tc>
        <w:tc>
          <w:tcPr>
            <w:tcW w:w="10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4"/>
        </w:trPr>
        <w:tc>
          <w:tcPr>
            <w:tcW w:w="3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Global Equity Strategy</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4/1/2010</w:t>
            </w:r>
          </w:p>
        </w:tc>
        <w:tc>
          <w:tcPr>
            <w:tcW w:w="500" w:type="dxa"/>
            <w:vAlign w:val="bottom"/>
            <w:shd w:val="clear" w:color="auto" w:fill="CCEEFF"/>
          </w:tcPr>
          <w:p>
            <w:pPr>
              <w:jc w:val="right"/>
              <w:ind w:right="294"/>
              <w:spacing w:after="0"/>
              <w:rPr>
                <w:sz w:val="20"/>
                <w:szCs w:val="20"/>
                <w:color w:val="auto"/>
              </w:rPr>
            </w:pPr>
            <w:r>
              <w:rPr>
                <w:rFonts w:ascii="Times New Roman" w:cs="Times New Roman" w:eastAsia="Times New Roman" w:hAnsi="Times New Roman"/>
                <w:sz w:val="13"/>
                <w:szCs w:val="13"/>
                <w:color w:val="auto"/>
              </w:rPr>
              <w:t>$</w:t>
            </w:r>
          </w:p>
        </w:tc>
        <w:tc>
          <w:tcPr>
            <w:tcW w:w="580" w:type="dxa"/>
            <w:vAlign w:val="bottom"/>
            <w:shd w:val="clear" w:color="auto" w:fill="CCEEFF"/>
          </w:tcPr>
          <w:p>
            <w:pPr>
              <w:jc w:val="right"/>
              <w:ind w:right="93"/>
              <w:spacing w:after="0"/>
              <w:rPr>
                <w:sz w:val="20"/>
                <w:szCs w:val="20"/>
                <w:color w:val="auto"/>
              </w:rPr>
            </w:pPr>
            <w:r>
              <w:rPr>
                <w:rFonts w:ascii="Times New Roman" w:cs="Times New Roman" w:eastAsia="Times New Roman" w:hAnsi="Times New Roman"/>
                <w:sz w:val="13"/>
                <w:szCs w:val="13"/>
                <w:color w:val="auto"/>
              </w:rPr>
              <w:t>393</w:t>
            </w:r>
          </w:p>
        </w:tc>
        <w:tc>
          <w:tcPr>
            <w:tcW w:w="660" w:type="dxa"/>
            <w:vAlign w:val="bottom"/>
            <w:shd w:val="clear" w:color="auto" w:fill="CCEEFF"/>
          </w:tcPr>
          <w:p>
            <w:pPr>
              <w:jc w:val="center"/>
              <w:ind w:left="53"/>
              <w:spacing w:after="0"/>
              <w:rPr>
                <w:sz w:val="20"/>
                <w:szCs w:val="20"/>
                <w:color w:val="auto"/>
              </w:rPr>
            </w:pPr>
            <w:r>
              <w:rPr>
                <w:rFonts w:ascii="Times New Roman" w:cs="Times New Roman" w:eastAsia="Times New Roman" w:hAnsi="Times New Roman"/>
                <w:sz w:val="13"/>
                <w:szCs w:val="13"/>
                <w:color w:val="auto"/>
              </w:rPr>
              <w:t>37.89%</w:t>
            </w:r>
          </w:p>
        </w:tc>
        <w:tc>
          <w:tcPr>
            <w:tcW w:w="900" w:type="dxa"/>
            <w:vAlign w:val="bottom"/>
            <w:shd w:val="clear" w:color="auto" w:fill="CCEEFF"/>
          </w:tcPr>
          <w:p>
            <w:pPr>
              <w:jc w:val="center"/>
              <w:ind w:left="53"/>
              <w:spacing w:after="0"/>
              <w:rPr>
                <w:sz w:val="20"/>
                <w:szCs w:val="20"/>
                <w:color w:val="auto"/>
              </w:rPr>
            </w:pPr>
            <w:r>
              <w:rPr>
                <w:rFonts w:ascii="Times New Roman" w:cs="Times New Roman" w:eastAsia="Times New Roman" w:hAnsi="Times New Roman"/>
                <w:sz w:val="13"/>
                <w:szCs w:val="13"/>
                <w:color w:val="auto"/>
              </w:rPr>
              <w:t>23.85%</w:t>
            </w:r>
          </w:p>
        </w:tc>
        <w:tc>
          <w:tcPr>
            <w:tcW w:w="7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11.47%</w:t>
            </w:r>
          </w:p>
        </w:tc>
        <w:tc>
          <w:tcPr>
            <w:tcW w:w="860" w:type="dxa"/>
            <w:vAlign w:val="bottom"/>
            <w:shd w:val="clear" w:color="auto" w:fill="CCEEFF"/>
          </w:tcPr>
          <w:p>
            <w:pPr>
              <w:jc w:val="center"/>
              <w:ind w:right="13"/>
              <w:spacing w:after="0"/>
              <w:rPr>
                <w:sz w:val="20"/>
                <w:szCs w:val="20"/>
                <w:color w:val="auto"/>
              </w:rPr>
            </w:pPr>
            <w:r>
              <w:rPr>
                <w:rFonts w:ascii="Times New Roman" w:cs="Times New Roman" w:eastAsia="Times New Roman" w:hAnsi="Times New Roman"/>
                <w:sz w:val="13"/>
                <w:szCs w:val="13"/>
                <w:color w:val="auto"/>
              </w:rPr>
              <w:t>15.01%</w:t>
            </w:r>
          </w:p>
        </w:tc>
        <w:tc>
          <w:tcPr>
            <w:tcW w:w="920" w:type="dxa"/>
            <w:vAlign w:val="bottom"/>
            <w:shd w:val="clear" w:color="auto" w:fill="CCEEFF"/>
          </w:tcPr>
          <w:p>
            <w:pPr>
              <w:jc w:val="center"/>
              <w:ind w:right="73"/>
              <w:spacing w:after="0"/>
              <w:rPr>
                <w:sz w:val="20"/>
                <w:szCs w:val="20"/>
                <w:color w:val="auto"/>
              </w:rPr>
            </w:pPr>
            <w:r>
              <w:rPr>
                <w:rFonts w:ascii="Times New Roman" w:cs="Times New Roman" w:eastAsia="Times New Roman" w:hAnsi="Times New Roman"/>
                <w:sz w:val="13"/>
                <w:szCs w:val="13"/>
                <w:color w:val="auto"/>
              </w:rPr>
              <w:t>13.45%</w:t>
            </w:r>
          </w:p>
        </w:tc>
        <w:tc>
          <w:tcPr>
            <w:tcW w:w="1060" w:type="dxa"/>
            <w:vAlign w:val="bottom"/>
            <w:shd w:val="clear" w:color="auto" w:fill="CCEEFF"/>
          </w:tcPr>
          <w:p>
            <w:pPr>
              <w:jc w:val="center"/>
              <w:ind w:left="353"/>
              <w:spacing w:after="0"/>
              <w:rPr>
                <w:sz w:val="20"/>
                <w:szCs w:val="20"/>
                <w:color w:val="auto"/>
              </w:rPr>
            </w:pPr>
            <w:r>
              <w:rPr>
                <w:rFonts w:ascii="Times New Roman" w:cs="Times New Roman" w:eastAsia="Times New Roman" w:hAnsi="Times New Roman"/>
                <w:sz w:val="13"/>
                <w:szCs w:val="13"/>
                <w:color w:val="auto"/>
              </w:rPr>
              <w:t>390</w:t>
            </w:r>
          </w:p>
        </w:tc>
        <w:tc>
          <w:tcPr>
            <w:tcW w:w="3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3620" w:type="dxa"/>
            <w:vAlign w:val="bottom"/>
          </w:tcPr>
          <w:p>
            <w:pPr>
              <w:ind w:left="140"/>
              <w:spacing w:after="0"/>
              <w:rPr>
                <w:sz w:val="20"/>
                <w:szCs w:val="20"/>
                <w:color w:val="auto"/>
              </w:rPr>
            </w:pPr>
            <w:r>
              <w:rPr>
                <w:rFonts w:ascii="Times New Roman" w:cs="Times New Roman" w:eastAsia="Times New Roman" w:hAnsi="Times New Roman"/>
                <w:sz w:val="13"/>
                <w:szCs w:val="13"/>
                <w:i w:val="1"/>
                <w:iCs w:val="1"/>
                <w:color w:val="auto"/>
              </w:rPr>
              <w:t>MSCI All Country World Index</w:t>
            </w:r>
          </w:p>
        </w:tc>
        <w:tc>
          <w:tcPr>
            <w:tcW w:w="10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60" w:type="dxa"/>
            <w:vAlign w:val="bottom"/>
          </w:tcPr>
          <w:p>
            <w:pPr>
              <w:jc w:val="center"/>
              <w:ind w:left="53"/>
              <w:spacing w:after="0"/>
              <w:rPr>
                <w:sz w:val="20"/>
                <w:szCs w:val="20"/>
                <w:color w:val="auto"/>
              </w:rPr>
            </w:pPr>
            <w:r>
              <w:rPr>
                <w:rFonts w:ascii="Times New Roman" w:cs="Times New Roman" w:eastAsia="Times New Roman" w:hAnsi="Times New Roman"/>
                <w:sz w:val="13"/>
                <w:szCs w:val="13"/>
                <w:i w:val="1"/>
                <w:iCs w:val="1"/>
                <w:color w:val="auto"/>
              </w:rPr>
              <w:t>20.01%</w:t>
            </w:r>
          </w:p>
        </w:tc>
        <w:tc>
          <w:tcPr>
            <w:tcW w:w="900" w:type="dxa"/>
            <w:vAlign w:val="bottom"/>
          </w:tcPr>
          <w:p>
            <w:pPr>
              <w:jc w:val="center"/>
              <w:ind w:left="53"/>
              <w:spacing w:after="0"/>
              <w:rPr>
                <w:sz w:val="20"/>
                <w:szCs w:val="20"/>
                <w:color w:val="auto"/>
              </w:rPr>
            </w:pPr>
            <w:r>
              <w:rPr>
                <w:rFonts w:ascii="Times New Roman" w:cs="Times New Roman" w:eastAsia="Times New Roman" w:hAnsi="Times New Roman"/>
                <w:sz w:val="13"/>
                <w:szCs w:val="13"/>
                <w:i w:val="1"/>
                <w:iCs w:val="1"/>
                <w:color w:val="auto"/>
              </w:rPr>
              <w:t>16.56%</w:t>
            </w:r>
          </w:p>
        </w:tc>
        <w:tc>
          <w:tcPr>
            <w:tcW w:w="780" w:type="dxa"/>
            <w:vAlign w:val="bottom"/>
          </w:tcPr>
          <w:p>
            <w:pPr>
              <w:jc w:val="center"/>
              <w:spacing w:after="0"/>
              <w:rPr>
                <w:sz w:val="20"/>
                <w:szCs w:val="20"/>
                <w:color w:val="auto"/>
              </w:rPr>
            </w:pPr>
            <w:r>
              <w:rPr>
                <w:rFonts w:ascii="Times New Roman" w:cs="Times New Roman" w:eastAsia="Times New Roman" w:hAnsi="Times New Roman"/>
                <w:sz w:val="13"/>
                <w:szCs w:val="13"/>
                <w:i w:val="1"/>
                <w:iCs w:val="1"/>
                <w:color w:val="auto"/>
              </w:rPr>
              <w:t>9.48%</w:t>
            </w:r>
          </w:p>
        </w:tc>
        <w:tc>
          <w:tcPr>
            <w:tcW w:w="860" w:type="dxa"/>
            <w:vAlign w:val="bottom"/>
          </w:tcPr>
          <w:p>
            <w:pPr>
              <w:jc w:val="center"/>
              <w:ind w:right="13"/>
              <w:spacing w:after="0"/>
              <w:rPr>
                <w:sz w:val="20"/>
                <w:szCs w:val="20"/>
                <w:color w:val="auto"/>
              </w:rPr>
            </w:pPr>
            <w:r>
              <w:rPr>
                <w:rFonts w:ascii="Times New Roman" w:cs="Times New Roman" w:eastAsia="Times New Roman" w:hAnsi="Times New Roman"/>
                <w:sz w:val="13"/>
                <w:szCs w:val="13"/>
                <w:i w:val="1"/>
                <w:iCs w:val="1"/>
                <w:color w:val="auto"/>
              </w:rPr>
              <w:t>11.33%</w:t>
            </w:r>
          </w:p>
        </w:tc>
        <w:tc>
          <w:tcPr>
            <w:tcW w:w="920" w:type="dxa"/>
            <w:vAlign w:val="bottom"/>
          </w:tcPr>
          <w:p>
            <w:pPr>
              <w:jc w:val="center"/>
              <w:ind w:right="93"/>
              <w:spacing w:after="0"/>
              <w:rPr>
                <w:sz w:val="20"/>
                <w:szCs w:val="20"/>
                <w:color w:val="auto"/>
              </w:rPr>
            </w:pPr>
            <w:r>
              <w:rPr>
                <w:rFonts w:ascii="Times New Roman" w:cs="Times New Roman" w:eastAsia="Times New Roman" w:hAnsi="Times New Roman"/>
                <w:sz w:val="13"/>
                <w:szCs w:val="13"/>
                <w:i w:val="1"/>
                <w:iCs w:val="1"/>
                <w:color w:val="auto"/>
              </w:rPr>
              <w:t>9.55%</w:t>
            </w:r>
          </w:p>
        </w:tc>
        <w:tc>
          <w:tcPr>
            <w:tcW w:w="10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3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Non-U.S. Growth Strategy</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1/1/1996</w:t>
            </w:r>
          </w:p>
        </w:tc>
        <w:tc>
          <w:tcPr>
            <w:tcW w:w="500" w:type="dxa"/>
            <w:vAlign w:val="bottom"/>
            <w:shd w:val="clear" w:color="auto" w:fill="CCEEFF"/>
          </w:tcPr>
          <w:p>
            <w:pPr>
              <w:jc w:val="right"/>
              <w:ind w:right="294"/>
              <w:spacing w:after="0"/>
              <w:rPr>
                <w:sz w:val="20"/>
                <w:szCs w:val="20"/>
                <w:color w:val="auto"/>
              </w:rPr>
            </w:pPr>
            <w:r>
              <w:rPr>
                <w:rFonts w:ascii="Times New Roman" w:cs="Times New Roman" w:eastAsia="Times New Roman" w:hAnsi="Times New Roman"/>
                <w:sz w:val="13"/>
                <w:szCs w:val="13"/>
                <w:color w:val="auto"/>
              </w:rPr>
              <w:t>$</w:t>
            </w:r>
          </w:p>
        </w:tc>
        <w:tc>
          <w:tcPr>
            <w:tcW w:w="580" w:type="dxa"/>
            <w:vAlign w:val="bottom"/>
            <w:shd w:val="clear" w:color="auto" w:fill="CCEEFF"/>
          </w:tcPr>
          <w:p>
            <w:pPr>
              <w:jc w:val="right"/>
              <w:ind w:right="93"/>
              <w:spacing w:after="0"/>
              <w:rPr>
                <w:sz w:val="20"/>
                <w:szCs w:val="20"/>
                <w:color w:val="auto"/>
              </w:rPr>
            </w:pPr>
            <w:r>
              <w:rPr>
                <w:rFonts w:ascii="Times New Roman" w:cs="Times New Roman" w:eastAsia="Times New Roman" w:hAnsi="Times New Roman"/>
                <w:sz w:val="13"/>
                <w:szCs w:val="13"/>
                <w:color w:val="auto"/>
              </w:rPr>
              <w:t>15,456</w:t>
            </w:r>
          </w:p>
        </w:tc>
        <w:tc>
          <w:tcPr>
            <w:tcW w:w="660" w:type="dxa"/>
            <w:vAlign w:val="bottom"/>
            <w:shd w:val="clear" w:color="auto" w:fill="CCEEFF"/>
          </w:tcPr>
          <w:p>
            <w:pPr>
              <w:jc w:val="center"/>
              <w:ind w:left="53"/>
              <w:spacing w:after="0"/>
              <w:rPr>
                <w:sz w:val="20"/>
                <w:szCs w:val="20"/>
                <w:color w:val="auto"/>
              </w:rPr>
            </w:pPr>
            <w:r>
              <w:rPr>
                <w:rFonts w:ascii="Times New Roman" w:cs="Times New Roman" w:eastAsia="Times New Roman" w:hAnsi="Times New Roman"/>
                <w:sz w:val="13"/>
                <w:szCs w:val="13"/>
                <w:color w:val="auto"/>
              </w:rPr>
              <w:t>29.92%</w:t>
            </w:r>
          </w:p>
        </w:tc>
        <w:tc>
          <w:tcPr>
            <w:tcW w:w="900" w:type="dxa"/>
            <w:vAlign w:val="bottom"/>
            <w:shd w:val="clear" w:color="auto" w:fill="CCEEFF"/>
          </w:tcPr>
          <w:p>
            <w:pPr>
              <w:jc w:val="center"/>
              <w:ind w:left="53"/>
              <w:spacing w:after="0"/>
              <w:rPr>
                <w:sz w:val="20"/>
                <w:szCs w:val="20"/>
                <w:color w:val="auto"/>
              </w:rPr>
            </w:pPr>
            <w:r>
              <w:rPr>
                <w:rFonts w:ascii="Times New Roman" w:cs="Times New Roman" w:eastAsia="Times New Roman" w:hAnsi="Times New Roman"/>
                <w:sz w:val="13"/>
                <w:szCs w:val="13"/>
                <w:color w:val="auto"/>
              </w:rPr>
              <w:t>19.08%</w:t>
            </w:r>
          </w:p>
        </w:tc>
        <w:tc>
          <w:tcPr>
            <w:tcW w:w="7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10.34%</w:t>
            </w:r>
          </w:p>
        </w:tc>
        <w:tc>
          <w:tcPr>
            <w:tcW w:w="860" w:type="dxa"/>
            <w:vAlign w:val="bottom"/>
            <w:shd w:val="clear" w:color="auto" w:fill="CCEEFF"/>
          </w:tcPr>
          <w:p>
            <w:pPr>
              <w:jc w:val="center"/>
              <w:ind w:right="13"/>
              <w:spacing w:after="0"/>
              <w:rPr>
                <w:sz w:val="20"/>
                <w:szCs w:val="20"/>
                <w:color w:val="auto"/>
              </w:rPr>
            </w:pPr>
            <w:r>
              <w:rPr>
                <w:rFonts w:ascii="Times New Roman" w:cs="Times New Roman" w:eastAsia="Times New Roman" w:hAnsi="Times New Roman"/>
                <w:sz w:val="13"/>
                <w:szCs w:val="13"/>
                <w:color w:val="auto"/>
              </w:rPr>
              <w:t>10.21%</w:t>
            </w:r>
          </w:p>
        </w:tc>
        <w:tc>
          <w:tcPr>
            <w:tcW w:w="920" w:type="dxa"/>
            <w:vAlign w:val="bottom"/>
            <w:shd w:val="clear" w:color="auto" w:fill="CCEEFF"/>
          </w:tcPr>
          <w:p>
            <w:pPr>
              <w:jc w:val="center"/>
              <w:ind w:right="73"/>
              <w:spacing w:after="0"/>
              <w:rPr>
                <w:sz w:val="20"/>
                <w:szCs w:val="20"/>
                <w:color w:val="auto"/>
              </w:rPr>
            </w:pPr>
            <w:r>
              <w:rPr>
                <w:rFonts w:ascii="Times New Roman" w:cs="Times New Roman" w:eastAsia="Times New Roman" w:hAnsi="Times New Roman"/>
                <w:sz w:val="13"/>
                <w:szCs w:val="13"/>
                <w:color w:val="auto"/>
              </w:rPr>
              <w:t>10.24%</w:t>
            </w:r>
          </w:p>
        </w:tc>
        <w:tc>
          <w:tcPr>
            <w:tcW w:w="1060" w:type="dxa"/>
            <w:vAlign w:val="bottom"/>
            <w:shd w:val="clear" w:color="auto" w:fill="CCEEFF"/>
          </w:tcPr>
          <w:p>
            <w:pPr>
              <w:jc w:val="center"/>
              <w:ind w:left="353"/>
              <w:spacing w:after="0"/>
              <w:rPr>
                <w:sz w:val="20"/>
                <w:szCs w:val="20"/>
                <w:color w:val="auto"/>
              </w:rPr>
            </w:pPr>
            <w:r>
              <w:rPr>
                <w:rFonts w:ascii="Times New Roman" w:cs="Times New Roman" w:eastAsia="Times New Roman" w:hAnsi="Times New Roman"/>
                <w:sz w:val="13"/>
                <w:szCs w:val="13"/>
                <w:color w:val="auto"/>
              </w:rPr>
              <w:t>467</w:t>
            </w:r>
          </w:p>
        </w:tc>
        <w:tc>
          <w:tcPr>
            <w:tcW w:w="3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3620" w:type="dxa"/>
            <w:vAlign w:val="bottom"/>
          </w:tcPr>
          <w:p>
            <w:pPr>
              <w:ind w:left="140"/>
              <w:spacing w:after="0"/>
              <w:rPr>
                <w:sz w:val="20"/>
                <w:szCs w:val="20"/>
                <w:color w:val="auto"/>
              </w:rPr>
            </w:pPr>
            <w:r>
              <w:rPr>
                <w:rFonts w:ascii="Times New Roman" w:cs="Times New Roman" w:eastAsia="Times New Roman" w:hAnsi="Times New Roman"/>
                <w:sz w:val="13"/>
                <w:szCs w:val="13"/>
                <w:i w:val="1"/>
                <w:iCs w:val="1"/>
                <w:color w:val="auto"/>
              </w:rPr>
              <w:t>MSCI EAFE Index</w:t>
            </w:r>
          </w:p>
        </w:tc>
        <w:tc>
          <w:tcPr>
            <w:tcW w:w="10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60" w:type="dxa"/>
            <w:vAlign w:val="bottom"/>
          </w:tcPr>
          <w:p>
            <w:pPr>
              <w:jc w:val="center"/>
              <w:ind w:left="53"/>
              <w:spacing w:after="0"/>
              <w:rPr>
                <w:sz w:val="20"/>
                <w:szCs w:val="20"/>
                <w:color w:val="auto"/>
              </w:rPr>
            </w:pPr>
            <w:r>
              <w:rPr>
                <w:rFonts w:ascii="Times New Roman" w:cs="Times New Roman" w:eastAsia="Times New Roman" w:hAnsi="Times New Roman"/>
                <w:sz w:val="13"/>
                <w:szCs w:val="13"/>
                <w:i w:val="1"/>
                <w:iCs w:val="1"/>
                <w:color w:val="auto"/>
              </w:rPr>
              <w:t>21.27%</w:t>
            </w:r>
          </w:p>
        </w:tc>
        <w:tc>
          <w:tcPr>
            <w:tcW w:w="900" w:type="dxa"/>
            <w:vAlign w:val="bottom"/>
          </w:tcPr>
          <w:p>
            <w:pPr>
              <w:jc w:val="center"/>
              <w:ind w:left="53"/>
              <w:spacing w:after="0"/>
              <w:rPr>
                <w:sz w:val="20"/>
                <w:szCs w:val="20"/>
                <w:color w:val="auto"/>
              </w:rPr>
            </w:pPr>
            <w:r>
              <w:rPr>
                <w:rFonts w:ascii="Times New Roman" w:cs="Times New Roman" w:eastAsia="Times New Roman" w:hAnsi="Times New Roman"/>
                <w:sz w:val="13"/>
                <w:szCs w:val="13"/>
                <w:i w:val="1"/>
                <w:iCs w:val="1"/>
                <w:color w:val="auto"/>
              </w:rPr>
              <w:t>13.60%</w:t>
            </w:r>
          </w:p>
        </w:tc>
        <w:tc>
          <w:tcPr>
            <w:tcW w:w="780" w:type="dxa"/>
            <w:vAlign w:val="bottom"/>
          </w:tcPr>
          <w:p>
            <w:pPr>
              <w:jc w:val="center"/>
              <w:spacing w:after="0"/>
              <w:rPr>
                <w:sz w:val="20"/>
                <w:szCs w:val="20"/>
                <w:color w:val="auto"/>
              </w:rPr>
            </w:pPr>
            <w:r>
              <w:rPr>
                <w:rFonts w:ascii="Times New Roman" w:cs="Times New Roman" w:eastAsia="Times New Roman" w:hAnsi="Times New Roman"/>
                <w:sz w:val="13"/>
                <w:szCs w:val="13"/>
                <w:i w:val="1"/>
                <w:iCs w:val="1"/>
                <w:color w:val="auto"/>
              </w:rPr>
              <w:t>7.91%</w:t>
            </w:r>
          </w:p>
        </w:tc>
        <w:tc>
          <w:tcPr>
            <w:tcW w:w="860" w:type="dxa"/>
            <w:vAlign w:val="bottom"/>
          </w:tcPr>
          <w:p>
            <w:pPr>
              <w:jc w:val="center"/>
              <w:ind w:right="13"/>
              <w:spacing w:after="0"/>
              <w:rPr>
                <w:sz w:val="20"/>
                <w:szCs w:val="20"/>
                <w:color w:val="auto"/>
              </w:rPr>
            </w:pPr>
            <w:r>
              <w:rPr>
                <w:rFonts w:ascii="Times New Roman" w:cs="Times New Roman" w:eastAsia="Times New Roman" w:hAnsi="Times New Roman"/>
                <w:sz w:val="13"/>
                <w:szCs w:val="13"/>
                <w:i w:val="1"/>
                <w:iCs w:val="1"/>
                <w:color w:val="auto"/>
              </w:rPr>
              <w:t>8.37%</w:t>
            </w:r>
          </w:p>
        </w:tc>
        <w:tc>
          <w:tcPr>
            <w:tcW w:w="920" w:type="dxa"/>
            <w:vAlign w:val="bottom"/>
          </w:tcPr>
          <w:p>
            <w:pPr>
              <w:jc w:val="center"/>
              <w:ind w:right="93"/>
              <w:spacing w:after="0"/>
              <w:rPr>
                <w:sz w:val="20"/>
                <w:szCs w:val="20"/>
                <w:color w:val="auto"/>
              </w:rPr>
            </w:pPr>
            <w:r>
              <w:rPr>
                <w:rFonts w:ascii="Times New Roman" w:cs="Times New Roman" w:eastAsia="Times New Roman" w:hAnsi="Times New Roman"/>
                <w:sz w:val="13"/>
                <w:szCs w:val="13"/>
                <w:i w:val="1"/>
                <w:iCs w:val="1"/>
                <w:color w:val="auto"/>
              </w:rPr>
              <w:t>5.57%</w:t>
            </w:r>
          </w:p>
        </w:tc>
        <w:tc>
          <w:tcPr>
            <w:tcW w:w="10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3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U.S. Value Team</w:t>
            </w:r>
          </w:p>
        </w:tc>
        <w:tc>
          <w:tcPr>
            <w:tcW w:w="100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2"/>
        </w:trPr>
        <w:tc>
          <w:tcPr>
            <w:tcW w:w="36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Value Equity Strategy</w:t>
            </w: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7/1/2005</w:t>
            </w:r>
          </w:p>
        </w:tc>
        <w:tc>
          <w:tcPr>
            <w:tcW w:w="500" w:type="dxa"/>
            <w:vAlign w:val="bottom"/>
          </w:tcPr>
          <w:p>
            <w:pPr>
              <w:jc w:val="right"/>
              <w:ind w:right="294"/>
              <w:spacing w:after="0"/>
              <w:rPr>
                <w:sz w:val="20"/>
                <w:szCs w:val="20"/>
                <w:color w:val="auto"/>
              </w:rPr>
            </w:pPr>
            <w:r>
              <w:rPr>
                <w:rFonts w:ascii="Times New Roman" w:cs="Times New Roman" w:eastAsia="Times New Roman" w:hAnsi="Times New Roman"/>
                <w:sz w:val="13"/>
                <w:szCs w:val="13"/>
                <w:color w:val="auto"/>
              </w:rPr>
              <w:t>$</w:t>
            </w:r>
          </w:p>
        </w:tc>
        <w:tc>
          <w:tcPr>
            <w:tcW w:w="580" w:type="dxa"/>
            <w:vAlign w:val="bottom"/>
          </w:tcPr>
          <w:p>
            <w:pPr>
              <w:jc w:val="right"/>
              <w:ind w:right="93"/>
              <w:spacing w:after="0"/>
              <w:rPr>
                <w:sz w:val="20"/>
                <w:szCs w:val="20"/>
                <w:color w:val="auto"/>
              </w:rPr>
            </w:pPr>
            <w:r>
              <w:rPr>
                <w:rFonts w:ascii="Times New Roman" w:cs="Times New Roman" w:eastAsia="Times New Roman" w:hAnsi="Times New Roman"/>
                <w:sz w:val="13"/>
                <w:szCs w:val="13"/>
                <w:color w:val="auto"/>
              </w:rPr>
              <w:t>5,600</w:t>
            </w:r>
          </w:p>
        </w:tc>
        <w:tc>
          <w:tcPr>
            <w:tcW w:w="660" w:type="dxa"/>
            <w:vAlign w:val="bottom"/>
          </w:tcPr>
          <w:p>
            <w:pPr>
              <w:jc w:val="center"/>
              <w:ind w:left="53"/>
              <w:spacing w:after="0"/>
              <w:rPr>
                <w:sz w:val="20"/>
                <w:szCs w:val="20"/>
                <w:color w:val="auto"/>
              </w:rPr>
            </w:pPr>
            <w:r>
              <w:rPr>
                <w:rFonts w:ascii="Times New Roman" w:cs="Times New Roman" w:eastAsia="Times New Roman" w:hAnsi="Times New Roman"/>
                <w:sz w:val="13"/>
                <w:szCs w:val="13"/>
                <w:color w:val="auto"/>
              </w:rPr>
              <w:t>8.11%</w:t>
            </w:r>
          </w:p>
        </w:tc>
        <w:tc>
          <w:tcPr>
            <w:tcW w:w="900" w:type="dxa"/>
            <w:vAlign w:val="bottom"/>
          </w:tcPr>
          <w:p>
            <w:pPr>
              <w:jc w:val="center"/>
              <w:ind w:left="53"/>
              <w:spacing w:after="0"/>
              <w:rPr>
                <w:sz w:val="20"/>
                <w:szCs w:val="20"/>
                <w:color w:val="auto"/>
              </w:rPr>
            </w:pPr>
            <w:r>
              <w:rPr>
                <w:rFonts w:ascii="Times New Roman" w:cs="Times New Roman" w:eastAsia="Times New Roman" w:hAnsi="Times New Roman"/>
                <w:sz w:val="13"/>
                <w:szCs w:val="13"/>
                <w:color w:val="auto"/>
              </w:rPr>
              <w:t>13.38%</w:t>
            </w:r>
          </w:p>
        </w:tc>
        <w:tc>
          <w:tcPr>
            <w:tcW w:w="78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10.12%</w:t>
            </w:r>
          </w:p>
        </w:tc>
        <w:tc>
          <w:tcPr>
            <w:tcW w:w="860" w:type="dxa"/>
            <w:vAlign w:val="bottom"/>
          </w:tcPr>
          <w:p>
            <w:pPr>
              <w:jc w:val="center"/>
              <w:ind w:right="13"/>
              <w:spacing w:after="0"/>
              <w:rPr>
                <w:sz w:val="20"/>
                <w:szCs w:val="20"/>
                <w:color w:val="auto"/>
              </w:rPr>
            </w:pPr>
            <w:r>
              <w:rPr>
                <w:rFonts w:ascii="Times New Roman" w:cs="Times New Roman" w:eastAsia="Times New Roman" w:hAnsi="Times New Roman"/>
                <w:sz w:val="13"/>
                <w:szCs w:val="13"/>
                <w:color w:val="auto"/>
              </w:rPr>
              <w:t>12.22%</w:t>
            </w:r>
          </w:p>
        </w:tc>
        <w:tc>
          <w:tcPr>
            <w:tcW w:w="920" w:type="dxa"/>
            <w:vAlign w:val="bottom"/>
          </w:tcPr>
          <w:p>
            <w:pPr>
              <w:jc w:val="center"/>
              <w:ind w:right="93"/>
              <w:spacing w:after="0"/>
              <w:rPr>
                <w:sz w:val="20"/>
                <w:szCs w:val="20"/>
                <w:color w:val="auto"/>
              </w:rPr>
            </w:pPr>
            <w:r>
              <w:rPr>
                <w:rFonts w:ascii="Times New Roman" w:cs="Times New Roman" w:eastAsia="Times New Roman" w:hAnsi="Times New Roman"/>
                <w:sz w:val="13"/>
                <w:szCs w:val="13"/>
                <w:color w:val="auto"/>
              </w:rPr>
              <w:t>9.55%</w:t>
            </w:r>
          </w:p>
        </w:tc>
        <w:tc>
          <w:tcPr>
            <w:tcW w:w="1060" w:type="dxa"/>
            <w:vAlign w:val="bottom"/>
          </w:tcPr>
          <w:p>
            <w:pPr>
              <w:jc w:val="center"/>
              <w:ind w:left="353"/>
              <w:spacing w:after="0"/>
              <w:rPr>
                <w:sz w:val="20"/>
                <w:szCs w:val="20"/>
                <w:color w:val="auto"/>
              </w:rPr>
            </w:pPr>
            <w:r>
              <w:rPr>
                <w:rFonts w:ascii="Times New Roman" w:cs="Times New Roman" w:eastAsia="Times New Roman" w:hAnsi="Times New Roman"/>
                <w:sz w:val="13"/>
                <w:szCs w:val="13"/>
                <w:color w:val="auto"/>
              </w:rPr>
              <w:t>118</w:t>
            </w:r>
          </w:p>
        </w:tc>
        <w:tc>
          <w:tcPr>
            <w:tcW w:w="3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36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i w:val="1"/>
                <w:iCs w:val="1"/>
                <w:color w:val="auto"/>
              </w:rPr>
              <w:t>Russell® 1000 Index</w:t>
            </w:r>
          </w:p>
        </w:tc>
        <w:tc>
          <w:tcPr>
            <w:tcW w:w="10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660" w:type="dxa"/>
            <w:vAlign w:val="bottom"/>
            <w:shd w:val="clear" w:color="auto" w:fill="CCEEFF"/>
          </w:tcPr>
          <w:p>
            <w:pPr>
              <w:jc w:val="center"/>
              <w:ind w:left="53"/>
              <w:spacing w:after="0"/>
              <w:rPr>
                <w:sz w:val="20"/>
                <w:szCs w:val="20"/>
                <w:color w:val="auto"/>
              </w:rPr>
            </w:pPr>
            <w:r>
              <w:rPr>
                <w:rFonts w:ascii="Times New Roman" w:cs="Times New Roman" w:eastAsia="Times New Roman" w:hAnsi="Times New Roman"/>
                <w:sz w:val="13"/>
                <w:szCs w:val="13"/>
                <w:i w:val="1"/>
                <w:iCs w:val="1"/>
                <w:color w:val="auto"/>
              </w:rPr>
              <w:t>17.74%</w:t>
            </w:r>
          </w:p>
        </w:tc>
        <w:tc>
          <w:tcPr>
            <w:tcW w:w="900" w:type="dxa"/>
            <w:vAlign w:val="bottom"/>
            <w:shd w:val="clear" w:color="auto" w:fill="CCEEFF"/>
          </w:tcPr>
          <w:p>
            <w:pPr>
              <w:jc w:val="center"/>
              <w:ind w:left="53"/>
              <w:spacing w:after="0"/>
              <w:rPr>
                <w:sz w:val="20"/>
                <w:szCs w:val="20"/>
                <w:color w:val="auto"/>
              </w:rPr>
            </w:pPr>
            <w:r>
              <w:rPr>
                <w:rFonts w:ascii="Times New Roman" w:cs="Times New Roman" w:eastAsia="Times New Roman" w:hAnsi="Times New Roman"/>
                <w:sz w:val="13"/>
                <w:szCs w:val="13"/>
                <w:i w:val="1"/>
                <w:iCs w:val="1"/>
                <w:color w:val="auto"/>
              </w:rPr>
              <w:t>18.12%</w:t>
            </w:r>
          </w:p>
        </w:tc>
        <w:tc>
          <w:tcPr>
            <w:tcW w:w="7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i w:val="1"/>
                <w:iCs w:val="1"/>
                <w:color w:val="auto"/>
              </w:rPr>
              <w:t>11.33%</w:t>
            </w:r>
          </w:p>
        </w:tc>
        <w:tc>
          <w:tcPr>
            <w:tcW w:w="860" w:type="dxa"/>
            <w:vAlign w:val="bottom"/>
            <w:shd w:val="clear" w:color="auto" w:fill="CCEEFF"/>
          </w:tcPr>
          <w:p>
            <w:pPr>
              <w:jc w:val="center"/>
              <w:ind w:right="13"/>
              <w:spacing w:after="0"/>
              <w:rPr>
                <w:sz w:val="20"/>
                <w:szCs w:val="20"/>
                <w:color w:val="auto"/>
              </w:rPr>
            </w:pPr>
            <w:r>
              <w:rPr>
                <w:rFonts w:ascii="Times New Roman" w:cs="Times New Roman" w:eastAsia="Times New Roman" w:hAnsi="Times New Roman"/>
                <w:sz w:val="13"/>
                <w:szCs w:val="13"/>
                <w:i w:val="1"/>
                <w:iCs w:val="1"/>
                <w:color w:val="auto"/>
              </w:rPr>
              <w:t>13.96%</w:t>
            </w:r>
          </w:p>
        </w:tc>
        <w:tc>
          <w:tcPr>
            <w:tcW w:w="920" w:type="dxa"/>
            <w:vAlign w:val="bottom"/>
            <w:shd w:val="clear" w:color="auto" w:fill="CCEEFF"/>
          </w:tcPr>
          <w:p>
            <w:pPr>
              <w:jc w:val="center"/>
              <w:ind w:right="73"/>
              <w:spacing w:after="0"/>
              <w:rPr>
                <w:sz w:val="20"/>
                <w:szCs w:val="20"/>
                <w:color w:val="auto"/>
              </w:rPr>
            </w:pPr>
            <w:r>
              <w:rPr>
                <w:rFonts w:ascii="Times New Roman" w:cs="Times New Roman" w:eastAsia="Times New Roman" w:hAnsi="Times New Roman"/>
                <w:sz w:val="13"/>
                <w:szCs w:val="13"/>
                <w:i w:val="1"/>
                <w:iCs w:val="1"/>
                <w:color w:val="auto"/>
              </w:rPr>
              <w:t>10.61%</w:t>
            </w:r>
          </w:p>
        </w:tc>
        <w:tc>
          <w:tcPr>
            <w:tcW w:w="10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3"/>
        </w:trPr>
        <w:tc>
          <w:tcPr>
            <w:tcW w:w="3620" w:type="dxa"/>
            <w:vAlign w:val="bottom"/>
          </w:tcPr>
          <w:p>
            <w:pPr>
              <w:ind w:left="140"/>
              <w:spacing w:after="0"/>
              <w:rPr>
                <w:sz w:val="20"/>
                <w:szCs w:val="20"/>
                <w:color w:val="auto"/>
              </w:rPr>
            </w:pPr>
            <w:r>
              <w:rPr>
                <w:rFonts w:ascii="Times New Roman" w:cs="Times New Roman" w:eastAsia="Times New Roman" w:hAnsi="Times New Roman"/>
                <w:sz w:val="13"/>
                <w:szCs w:val="13"/>
                <w:i w:val="1"/>
                <w:iCs w:val="1"/>
                <w:color w:val="auto"/>
              </w:rPr>
              <w:t>Russell® 1000 Value Index</w:t>
            </w:r>
          </w:p>
        </w:tc>
        <w:tc>
          <w:tcPr>
            <w:tcW w:w="10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60" w:type="dxa"/>
            <w:vAlign w:val="bottom"/>
          </w:tcPr>
          <w:p>
            <w:pPr>
              <w:jc w:val="center"/>
              <w:ind w:left="53"/>
              <w:spacing w:after="0"/>
              <w:rPr>
                <w:sz w:val="20"/>
                <w:szCs w:val="20"/>
                <w:color w:val="auto"/>
              </w:rPr>
            </w:pPr>
            <w:r>
              <w:rPr>
                <w:rFonts w:ascii="Times New Roman" w:cs="Times New Roman" w:eastAsia="Times New Roman" w:hAnsi="Times New Roman"/>
                <w:sz w:val="13"/>
                <w:szCs w:val="13"/>
                <w:i w:val="1"/>
                <w:iCs w:val="1"/>
                <w:color w:val="auto"/>
              </w:rPr>
              <w:t>15.87%</w:t>
            </w:r>
          </w:p>
        </w:tc>
        <w:tc>
          <w:tcPr>
            <w:tcW w:w="900" w:type="dxa"/>
            <w:vAlign w:val="bottom"/>
          </w:tcPr>
          <w:p>
            <w:pPr>
              <w:jc w:val="center"/>
              <w:ind w:left="53"/>
              <w:spacing w:after="0"/>
              <w:rPr>
                <w:sz w:val="20"/>
                <w:szCs w:val="20"/>
                <w:color w:val="auto"/>
              </w:rPr>
            </w:pPr>
            <w:r>
              <w:rPr>
                <w:rFonts w:ascii="Times New Roman" w:cs="Times New Roman" w:eastAsia="Times New Roman" w:hAnsi="Times New Roman"/>
                <w:sz w:val="13"/>
                <w:szCs w:val="13"/>
                <w:i w:val="1"/>
                <w:iCs w:val="1"/>
                <w:color w:val="auto"/>
              </w:rPr>
              <w:t>14.29%</w:t>
            </w:r>
          </w:p>
        </w:tc>
        <w:tc>
          <w:tcPr>
            <w:tcW w:w="780" w:type="dxa"/>
            <w:vAlign w:val="bottom"/>
          </w:tcPr>
          <w:p>
            <w:pPr>
              <w:jc w:val="center"/>
              <w:spacing w:after="0"/>
              <w:rPr>
                <w:sz w:val="20"/>
                <w:szCs w:val="20"/>
                <w:color w:val="auto"/>
              </w:rPr>
            </w:pPr>
            <w:r>
              <w:rPr>
                <w:rFonts w:ascii="Times New Roman" w:cs="Times New Roman" w:eastAsia="Times New Roman" w:hAnsi="Times New Roman"/>
                <w:sz w:val="13"/>
                <w:szCs w:val="13"/>
                <w:i w:val="1"/>
                <w:iCs w:val="1"/>
                <w:color w:val="auto"/>
              </w:rPr>
              <w:t>9.42%</w:t>
            </w:r>
          </w:p>
        </w:tc>
        <w:tc>
          <w:tcPr>
            <w:tcW w:w="860" w:type="dxa"/>
            <w:vAlign w:val="bottom"/>
          </w:tcPr>
          <w:p>
            <w:pPr>
              <w:jc w:val="center"/>
              <w:ind w:right="13"/>
              <w:spacing w:after="0"/>
              <w:rPr>
                <w:sz w:val="20"/>
                <w:szCs w:val="20"/>
                <w:color w:val="auto"/>
              </w:rPr>
            </w:pPr>
            <w:r>
              <w:rPr>
                <w:rFonts w:ascii="Times New Roman" w:cs="Times New Roman" w:eastAsia="Times New Roman" w:hAnsi="Times New Roman"/>
                <w:sz w:val="13"/>
                <w:szCs w:val="13"/>
                <w:i w:val="1"/>
                <w:iCs w:val="1"/>
                <w:color w:val="auto"/>
              </w:rPr>
              <w:t>10.57%</w:t>
            </w:r>
          </w:p>
        </w:tc>
        <w:tc>
          <w:tcPr>
            <w:tcW w:w="920" w:type="dxa"/>
            <w:vAlign w:val="bottom"/>
          </w:tcPr>
          <w:p>
            <w:pPr>
              <w:jc w:val="center"/>
              <w:ind w:right="93"/>
              <w:spacing w:after="0"/>
              <w:rPr>
                <w:sz w:val="20"/>
                <w:szCs w:val="20"/>
                <w:color w:val="auto"/>
              </w:rPr>
            </w:pPr>
            <w:r>
              <w:rPr>
                <w:rFonts w:ascii="Times New Roman" w:cs="Times New Roman" w:eastAsia="Times New Roman" w:hAnsi="Times New Roman"/>
                <w:sz w:val="13"/>
                <w:szCs w:val="13"/>
                <w:i w:val="1"/>
                <w:iCs w:val="1"/>
                <w:color w:val="auto"/>
              </w:rPr>
              <w:t>8.37%</w:t>
            </w:r>
          </w:p>
        </w:tc>
        <w:tc>
          <w:tcPr>
            <w:tcW w:w="10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3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U.S. Mid-Cap Value Strategy</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4/1/1999</w:t>
            </w:r>
          </w:p>
        </w:tc>
        <w:tc>
          <w:tcPr>
            <w:tcW w:w="500" w:type="dxa"/>
            <w:vAlign w:val="bottom"/>
            <w:shd w:val="clear" w:color="auto" w:fill="CCEEFF"/>
          </w:tcPr>
          <w:p>
            <w:pPr>
              <w:jc w:val="right"/>
              <w:ind w:right="294"/>
              <w:spacing w:after="0"/>
              <w:rPr>
                <w:sz w:val="20"/>
                <w:szCs w:val="20"/>
                <w:color w:val="auto"/>
              </w:rPr>
            </w:pPr>
            <w:r>
              <w:rPr>
                <w:rFonts w:ascii="Times New Roman" w:cs="Times New Roman" w:eastAsia="Times New Roman" w:hAnsi="Times New Roman"/>
                <w:sz w:val="13"/>
                <w:szCs w:val="13"/>
                <w:color w:val="auto"/>
              </w:rPr>
              <w:t>$</w:t>
            </w:r>
          </w:p>
        </w:tc>
        <w:tc>
          <w:tcPr>
            <w:tcW w:w="580" w:type="dxa"/>
            <w:vAlign w:val="bottom"/>
            <w:shd w:val="clear" w:color="auto" w:fill="CCEEFF"/>
          </w:tcPr>
          <w:p>
            <w:pPr>
              <w:jc w:val="right"/>
              <w:ind w:right="93"/>
              <w:spacing w:after="0"/>
              <w:rPr>
                <w:sz w:val="20"/>
                <w:szCs w:val="20"/>
                <w:color w:val="auto"/>
              </w:rPr>
            </w:pPr>
            <w:r>
              <w:rPr>
                <w:rFonts w:ascii="Times New Roman" w:cs="Times New Roman" w:eastAsia="Times New Roman" w:hAnsi="Times New Roman"/>
                <w:sz w:val="13"/>
                <w:szCs w:val="13"/>
                <w:color w:val="auto"/>
              </w:rPr>
              <w:t>1,898</w:t>
            </w:r>
          </w:p>
        </w:tc>
        <w:tc>
          <w:tcPr>
            <w:tcW w:w="660" w:type="dxa"/>
            <w:vAlign w:val="bottom"/>
            <w:shd w:val="clear" w:color="auto" w:fill="CCEEFF"/>
          </w:tcPr>
          <w:p>
            <w:pPr>
              <w:jc w:val="center"/>
              <w:ind w:left="33"/>
              <w:spacing w:after="0"/>
              <w:rPr>
                <w:sz w:val="20"/>
                <w:szCs w:val="20"/>
                <w:color w:val="auto"/>
              </w:rPr>
            </w:pPr>
            <w:r>
              <w:rPr>
                <w:rFonts w:ascii="Times New Roman" w:cs="Times New Roman" w:eastAsia="Times New Roman" w:hAnsi="Times New Roman"/>
                <w:sz w:val="13"/>
                <w:szCs w:val="13"/>
                <w:color w:val="auto"/>
              </w:rPr>
              <w:t>(1.06)%</w:t>
            </w:r>
          </w:p>
        </w:tc>
        <w:tc>
          <w:tcPr>
            <w:tcW w:w="900" w:type="dxa"/>
            <w:vAlign w:val="bottom"/>
            <w:shd w:val="clear" w:color="auto" w:fill="CCEEFF"/>
          </w:tcPr>
          <w:p>
            <w:pPr>
              <w:jc w:val="center"/>
              <w:ind w:left="53"/>
              <w:spacing w:after="0"/>
              <w:rPr>
                <w:sz w:val="20"/>
                <w:szCs w:val="20"/>
                <w:color w:val="auto"/>
              </w:rPr>
            </w:pPr>
            <w:r>
              <w:rPr>
                <w:rFonts w:ascii="Times New Roman" w:cs="Times New Roman" w:eastAsia="Times New Roman" w:hAnsi="Times New Roman"/>
                <w:sz w:val="13"/>
                <w:szCs w:val="13"/>
                <w:color w:val="auto"/>
              </w:rPr>
              <w:t>5.58%</w:t>
            </w:r>
          </w:p>
        </w:tc>
        <w:tc>
          <w:tcPr>
            <w:tcW w:w="7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3.77%</w:t>
            </w:r>
          </w:p>
        </w:tc>
        <w:tc>
          <w:tcPr>
            <w:tcW w:w="860" w:type="dxa"/>
            <w:vAlign w:val="bottom"/>
            <w:shd w:val="clear" w:color="auto" w:fill="CCEEFF"/>
          </w:tcPr>
          <w:p>
            <w:pPr>
              <w:jc w:val="center"/>
              <w:ind w:right="13"/>
              <w:spacing w:after="0"/>
              <w:rPr>
                <w:sz w:val="20"/>
                <w:szCs w:val="20"/>
                <w:color w:val="auto"/>
              </w:rPr>
            </w:pPr>
            <w:r>
              <w:rPr>
                <w:rFonts w:ascii="Times New Roman" w:cs="Times New Roman" w:eastAsia="Times New Roman" w:hAnsi="Times New Roman"/>
                <w:sz w:val="13"/>
                <w:szCs w:val="13"/>
                <w:color w:val="auto"/>
              </w:rPr>
              <w:t>7.92%</w:t>
            </w:r>
          </w:p>
        </w:tc>
        <w:tc>
          <w:tcPr>
            <w:tcW w:w="920" w:type="dxa"/>
            <w:vAlign w:val="bottom"/>
            <w:shd w:val="clear" w:color="auto" w:fill="CCEEFF"/>
          </w:tcPr>
          <w:p>
            <w:pPr>
              <w:jc w:val="center"/>
              <w:ind w:right="93"/>
              <w:spacing w:after="0"/>
              <w:rPr>
                <w:sz w:val="20"/>
                <w:szCs w:val="20"/>
                <w:color w:val="auto"/>
              </w:rPr>
            </w:pPr>
            <w:r>
              <w:rPr>
                <w:rFonts w:ascii="Times New Roman" w:cs="Times New Roman" w:eastAsia="Times New Roman" w:hAnsi="Times New Roman"/>
                <w:sz w:val="13"/>
                <w:szCs w:val="13"/>
                <w:color w:val="auto"/>
                <w:w w:val="99"/>
              </w:rPr>
              <w:t>11.17%</w:t>
            </w:r>
          </w:p>
        </w:tc>
        <w:tc>
          <w:tcPr>
            <w:tcW w:w="1060" w:type="dxa"/>
            <w:vAlign w:val="bottom"/>
            <w:shd w:val="clear" w:color="auto" w:fill="CCEEFF"/>
          </w:tcPr>
          <w:p>
            <w:pPr>
              <w:jc w:val="center"/>
              <w:ind w:left="353"/>
              <w:spacing w:after="0"/>
              <w:rPr>
                <w:sz w:val="20"/>
                <w:szCs w:val="20"/>
                <w:color w:val="auto"/>
              </w:rPr>
            </w:pPr>
            <w:r>
              <w:rPr>
                <w:rFonts w:ascii="Times New Roman" w:cs="Times New Roman" w:eastAsia="Times New Roman" w:hAnsi="Times New Roman"/>
                <w:sz w:val="13"/>
                <w:szCs w:val="13"/>
                <w:color w:val="auto"/>
              </w:rPr>
              <w:t>154</w:t>
            </w:r>
          </w:p>
        </w:tc>
        <w:tc>
          <w:tcPr>
            <w:tcW w:w="3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3620" w:type="dxa"/>
            <w:vAlign w:val="bottom"/>
          </w:tcPr>
          <w:p>
            <w:pPr>
              <w:ind w:left="140"/>
              <w:spacing w:after="0"/>
              <w:rPr>
                <w:sz w:val="20"/>
                <w:szCs w:val="20"/>
                <w:color w:val="auto"/>
              </w:rPr>
            </w:pPr>
            <w:r>
              <w:rPr>
                <w:rFonts w:ascii="Times New Roman" w:cs="Times New Roman" w:eastAsia="Times New Roman" w:hAnsi="Times New Roman"/>
                <w:sz w:val="13"/>
                <w:szCs w:val="13"/>
                <w:i w:val="1"/>
                <w:iCs w:val="1"/>
                <w:color w:val="auto"/>
              </w:rPr>
              <w:t>Russell® Midcap Index</w:t>
            </w:r>
          </w:p>
        </w:tc>
        <w:tc>
          <w:tcPr>
            <w:tcW w:w="10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60" w:type="dxa"/>
            <w:vAlign w:val="bottom"/>
          </w:tcPr>
          <w:p>
            <w:pPr>
              <w:jc w:val="center"/>
              <w:ind w:left="53"/>
              <w:spacing w:after="0"/>
              <w:rPr>
                <w:sz w:val="20"/>
                <w:szCs w:val="20"/>
                <w:color w:val="auto"/>
              </w:rPr>
            </w:pPr>
            <w:r>
              <w:rPr>
                <w:rFonts w:ascii="Times New Roman" w:cs="Times New Roman" w:eastAsia="Times New Roman" w:hAnsi="Times New Roman"/>
                <w:sz w:val="13"/>
                <w:szCs w:val="13"/>
                <w:i w:val="1"/>
                <w:iCs w:val="1"/>
                <w:color w:val="auto"/>
              </w:rPr>
              <w:t>15.98%</w:t>
            </w:r>
          </w:p>
        </w:tc>
        <w:tc>
          <w:tcPr>
            <w:tcW w:w="900" w:type="dxa"/>
            <w:vAlign w:val="bottom"/>
          </w:tcPr>
          <w:p>
            <w:pPr>
              <w:jc w:val="center"/>
              <w:ind w:left="53"/>
              <w:spacing w:after="0"/>
              <w:rPr>
                <w:sz w:val="20"/>
                <w:szCs w:val="20"/>
                <w:color w:val="auto"/>
              </w:rPr>
            </w:pPr>
            <w:r>
              <w:rPr>
                <w:rFonts w:ascii="Times New Roman" w:cs="Times New Roman" w:eastAsia="Times New Roman" w:hAnsi="Times New Roman"/>
                <w:sz w:val="13"/>
                <w:szCs w:val="13"/>
                <w:i w:val="1"/>
                <w:iCs w:val="1"/>
                <w:color w:val="auto"/>
              </w:rPr>
              <w:t>13.32%</w:t>
            </w:r>
          </w:p>
        </w:tc>
        <w:tc>
          <w:tcPr>
            <w:tcW w:w="780" w:type="dxa"/>
            <w:vAlign w:val="bottom"/>
          </w:tcPr>
          <w:p>
            <w:pPr>
              <w:jc w:val="center"/>
              <w:spacing w:after="0"/>
              <w:rPr>
                <w:sz w:val="20"/>
                <w:szCs w:val="20"/>
                <w:color w:val="auto"/>
              </w:rPr>
            </w:pPr>
            <w:r>
              <w:rPr>
                <w:rFonts w:ascii="Times New Roman" w:cs="Times New Roman" w:eastAsia="Times New Roman" w:hAnsi="Times New Roman"/>
                <w:sz w:val="13"/>
                <w:szCs w:val="13"/>
                <w:i w:val="1"/>
                <w:iCs w:val="1"/>
                <w:color w:val="auto"/>
              </w:rPr>
              <w:t>7.26%</w:t>
            </w:r>
          </w:p>
        </w:tc>
        <w:tc>
          <w:tcPr>
            <w:tcW w:w="860" w:type="dxa"/>
            <w:vAlign w:val="bottom"/>
          </w:tcPr>
          <w:p>
            <w:pPr>
              <w:jc w:val="center"/>
              <w:ind w:right="13"/>
              <w:spacing w:after="0"/>
              <w:rPr>
                <w:sz w:val="20"/>
                <w:szCs w:val="20"/>
                <w:color w:val="auto"/>
              </w:rPr>
            </w:pPr>
            <w:r>
              <w:rPr>
                <w:rFonts w:ascii="Times New Roman" w:cs="Times New Roman" w:eastAsia="Times New Roman" w:hAnsi="Times New Roman"/>
                <w:sz w:val="13"/>
                <w:szCs w:val="13"/>
                <w:i w:val="1"/>
                <w:iCs w:val="1"/>
                <w:color w:val="auto"/>
              </w:rPr>
              <w:t>10.90%</w:t>
            </w:r>
          </w:p>
        </w:tc>
        <w:tc>
          <w:tcPr>
            <w:tcW w:w="920" w:type="dxa"/>
            <w:vAlign w:val="bottom"/>
          </w:tcPr>
          <w:p>
            <w:pPr>
              <w:jc w:val="center"/>
              <w:ind w:right="93"/>
              <w:spacing w:after="0"/>
              <w:rPr>
                <w:sz w:val="20"/>
                <w:szCs w:val="20"/>
                <w:color w:val="auto"/>
              </w:rPr>
            </w:pPr>
            <w:r>
              <w:rPr>
                <w:rFonts w:ascii="Times New Roman" w:cs="Times New Roman" w:eastAsia="Times New Roman" w:hAnsi="Times New Roman"/>
                <w:sz w:val="13"/>
                <w:szCs w:val="13"/>
                <w:i w:val="1"/>
                <w:iCs w:val="1"/>
                <w:color w:val="auto"/>
              </w:rPr>
              <w:t>9.63%</w:t>
            </w:r>
          </w:p>
        </w:tc>
        <w:tc>
          <w:tcPr>
            <w:tcW w:w="10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36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i w:val="1"/>
                <w:iCs w:val="1"/>
                <w:color w:val="auto"/>
              </w:rPr>
              <w:t>Russell® Midcap Value Index</w:t>
            </w:r>
          </w:p>
        </w:tc>
        <w:tc>
          <w:tcPr>
            <w:tcW w:w="100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660" w:type="dxa"/>
            <w:vAlign w:val="bottom"/>
            <w:shd w:val="clear" w:color="auto" w:fill="CCEEFF"/>
          </w:tcPr>
          <w:p>
            <w:pPr>
              <w:jc w:val="center"/>
              <w:ind w:left="53"/>
              <w:spacing w:after="0"/>
              <w:rPr>
                <w:sz w:val="20"/>
                <w:szCs w:val="20"/>
                <w:color w:val="auto"/>
              </w:rPr>
            </w:pPr>
            <w:r>
              <w:rPr>
                <w:rFonts w:ascii="Times New Roman" w:cs="Times New Roman" w:eastAsia="Times New Roman" w:hAnsi="Times New Roman"/>
                <w:sz w:val="13"/>
                <w:szCs w:val="13"/>
                <w:i w:val="1"/>
                <w:iCs w:val="1"/>
                <w:color w:val="auto"/>
              </w:rPr>
              <w:t>17.62%</w:t>
            </w:r>
          </w:p>
        </w:tc>
        <w:tc>
          <w:tcPr>
            <w:tcW w:w="900" w:type="dxa"/>
            <w:vAlign w:val="bottom"/>
            <w:shd w:val="clear" w:color="auto" w:fill="CCEEFF"/>
          </w:tcPr>
          <w:p>
            <w:pPr>
              <w:jc w:val="center"/>
              <w:ind w:left="53"/>
              <w:spacing w:after="0"/>
              <w:rPr>
                <w:sz w:val="20"/>
                <w:szCs w:val="20"/>
                <w:color w:val="auto"/>
              </w:rPr>
            </w:pPr>
            <w:r>
              <w:rPr>
                <w:rFonts w:ascii="Times New Roman" w:cs="Times New Roman" w:eastAsia="Times New Roman" w:hAnsi="Times New Roman"/>
                <w:sz w:val="13"/>
                <w:szCs w:val="13"/>
                <w:i w:val="1"/>
                <w:iCs w:val="1"/>
                <w:color w:val="auto"/>
              </w:rPr>
              <w:t>13.13%</w:t>
            </w:r>
          </w:p>
        </w:tc>
        <w:tc>
          <w:tcPr>
            <w:tcW w:w="7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i w:val="1"/>
                <w:iCs w:val="1"/>
                <w:color w:val="auto"/>
              </w:rPr>
              <w:t>7.94%</w:t>
            </w:r>
          </w:p>
        </w:tc>
        <w:tc>
          <w:tcPr>
            <w:tcW w:w="860" w:type="dxa"/>
            <w:vAlign w:val="bottom"/>
            <w:shd w:val="clear" w:color="auto" w:fill="CCEEFF"/>
          </w:tcPr>
          <w:p>
            <w:pPr>
              <w:jc w:val="center"/>
              <w:ind w:right="13"/>
              <w:spacing w:after="0"/>
              <w:rPr>
                <w:sz w:val="20"/>
                <w:szCs w:val="20"/>
                <w:color w:val="auto"/>
              </w:rPr>
            </w:pPr>
            <w:r>
              <w:rPr>
                <w:rFonts w:ascii="Times New Roman" w:cs="Times New Roman" w:eastAsia="Times New Roman" w:hAnsi="Times New Roman"/>
                <w:sz w:val="13"/>
                <w:szCs w:val="13"/>
                <w:i w:val="1"/>
                <w:iCs w:val="1"/>
                <w:color w:val="auto"/>
              </w:rPr>
              <w:t>9.75%</w:t>
            </w:r>
          </w:p>
        </w:tc>
        <w:tc>
          <w:tcPr>
            <w:tcW w:w="920" w:type="dxa"/>
            <w:vAlign w:val="bottom"/>
            <w:shd w:val="clear" w:color="auto" w:fill="CCEEFF"/>
          </w:tcPr>
          <w:p>
            <w:pPr>
              <w:jc w:val="center"/>
              <w:ind w:right="93"/>
              <w:spacing w:after="0"/>
              <w:rPr>
                <w:sz w:val="20"/>
                <w:szCs w:val="20"/>
                <w:color w:val="auto"/>
              </w:rPr>
            </w:pPr>
            <w:r>
              <w:rPr>
                <w:rFonts w:ascii="Times New Roman" w:cs="Times New Roman" w:eastAsia="Times New Roman" w:hAnsi="Times New Roman"/>
                <w:sz w:val="13"/>
                <w:szCs w:val="13"/>
                <w:i w:val="1"/>
                <w:iCs w:val="1"/>
                <w:color w:val="auto"/>
              </w:rPr>
              <w:t>9.63%</w:t>
            </w:r>
          </w:p>
        </w:tc>
        <w:tc>
          <w:tcPr>
            <w:tcW w:w="106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2"/>
        </w:trPr>
        <w:tc>
          <w:tcPr>
            <w:tcW w:w="36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Value Income Strategy</w:t>
            </w: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3/1/2022</w:t>
            </w:r>
          </w:p>
        </w:tc>
        <w:tc>
          <w:tcPr>
            <w:tcW w:w="500" w:type="dxa"/>
            <w:vAlign w:val="bottom"/>
          </w:tcPr>
          <w:p>
            <w:pPr>
              <w:jc w:val="right"/>
              <w:ind w:right="294"/>
              <w:spacing w:after="0"/>
              <w:rPr>
                <w:sz w:val="20"/>
                <w:szCs w:val="20"/>
                <w:color w:val="auto"/>
              </w:rPr>
            </w:pPr>
            <w:r>
              <w:rPr>
                <w:rFonts w:ascii="Times New Roman" w:cs="Times New Roman" w:eastAsia="Times New Roman" w:hAnsi="Times New Roman"/>
                <w:sz w:val="13"/>
                <w:szCs w:val="13"/>
                <w:color w:val="auto"/>
              </w:rPr>
              <w:t>$</w:t>
            </w:r>
          </w:p>
        </w:tc>
        <w:tc>
          <w:tcPr>
            <w:tcW w:w="580" w:type="dxa"/>
            <w:vAlign w:val="bottom"/>
          </w:tcPr>
          <w:p>
            <w:pPr>
              <w:jc w:val="right"/>
              <w:ind w:right="93"/>
              <w:spacing w:after="0"/>
              <w:rPr>
                <w:sz w:val="20"/>
                <w:szCs w:val="20"/>
                <w:color w:val="auto"/>
              </w:rPr>
            </w:pPr>
            <w:r>
              <w:rPr>
                <w:rFonts w:ascii="Times New Roman" w:cs="Times New Roman" w:eastAsia="Times New Roman" w:hAnsi="Times New Roman"/>
                <w:sz w:val="13"/>
                <w:szCs w:val="13"/>
                <w:color w:val="auto"/>
              </w:rPr>
              <w:t>8</w:t>
            </w:r>
          </w:p>
        </w:tc>
        <w:tc>
          <w:tcPr>
            <w:tcW w:w="660" w:type="dxa"/>
            <w:vAlign w:val="bottom"/>
          </w:tcPr>
          <w:p>
            <w:pPr>
              <w:jc w:val="center"/>
              <w:ind w:left="53"/>
              <w:spacing w:after="0"/>
              <w:rPr>
                <w:sz w:val="20"/>
                <w:szCs w:val="20"/>
                <w:color w:val="auto"/>
              </w:rPr>
            </w:pPr>
            <w:r>
              <w:rPr>
                <w:rFonts w:ascii="Times New Roman" w:cs="Times New Roman" w:eastAsia="Times New Roman" w:hAnsi="Times New Roman"/>
                <w:sz w:val="13"/>
                <w:szCs w:val="13"/>
                <w:color w:val="auto"/>
              </w:rPr>
              <w:t>10.34%</w:t>
            </w:r>
          </w:p>
        </w:tc>
        <w:tc>
          <w:tcPr>
            <w:tcW w:w="900" w:type="dxa"/>
            <w:vAlign w:val="bottom"/>
          </w:tcPr>
          <w:p>
            <w:pPr>
              <w:jc w:val="center"/>
              <w:ind w:left="53"/>
              <w:spacing w:after="0"/>
              <w:rPr>
                <w:sz w:val="20"/>
                <w:szCs w:val="20"/>
                <w:color w:val="auto"/>
              </w:rPr>
            </w:pPr>
            <w:r>
              <w:rPr>
                <w:rFonts w:ascii="Times New Roman" w:cs="Times New Roman" w:eastAsia="Times New Roman" w:hAnsi="Times New Roman"/>
                <w:sz w:val="13"/>
                <w:szCs w:val="13"/>
                <w:color w:val="auto"/>
              </w:rPr>
              <w:t>11.56%</w:t>
            </w:r>
          </w:p>
        </w:tc>
        <w:tc>
          <w:tcPr>
            <w:tcW w:w="78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w:t>
            </w:r>
          </w:p>
        </w:tc>
        <w:tc>
          <w:tcPr>
            <w:tcW w:w="860" w:type="dxa"/>
            <w:vAlign w:val="bottom"/>
          </w:tcPr>
          <w:p>
            <w:pPr>
              <w:jc w:val="center"/>
              <w:ind w:right="13"/>
              <w:spacing w:after="0"/>
              <w:rPr>
                <w:sz w:val="20"/>
                <w:szCs w:val="20"/>
                <w:color w:val="auto"/>
              </w:rPr>
            </w:pPr>
            <w:r>
              <w:rPr>
                <w:rFonts w:ascii="Times New Roman" w:cs="Times New Roman" w:eastAsia="Times New Roman" w:hAnsi="Times New Roman"/>
                <w:sz w:val="13"/>
                <w:szCs w:val="13"/>
                <w:color w:val="auto"/>
              </w:rPr>
              <w:t>---</w:t>
            </w:r>
          </w:p>
        </w:tc>
        <w:tc>
          <w:tcPr>
            <w:tcW w:w="920" w:type="dxa"/>
            <w:vAlign w:val="bottom"/>
          </w:tcPr>
          <w:p>
            <w:pPr>
              <w:jc w:val="center"/>
              <w:ind w:right="93"/>
              <w:spacing w:after="0"/>
              <w:rPr>
                <w:sz w:val="20"/>
                <w:szCs w:val="20"/>
                <w:color w:val="auto"/>
              </w:rPr>
            </w:pPr>
            <w:r>
              <w:rPr>
                <w:rFonts w:ascii="Times New Roman" w:cs="Times New Roman" w:eastAsia="Times New Roman" w:hAnsi="Times New Roman"/>
                <w:sz w:val="13"/>
                <w:szCs w:val="13"/>
                <w:color w:val="auto"/>
              </w:rPr>
              <w:t>6.68%</w:t>
            </w:r>
          </w:p>
        </w:tc>
        <w:tc>
          <w:tcPr>
            <w:tcW w:w="1060" w:type="dxa"/>
            <w:vAlign w:val="bottom"/>
          </w:tcPr>
          <w:p>
            <w:pPr>
              <w:jc w:val="center"/>
              <w:ind w:left="333"/>
              <w:spacing w:after="0"/>
              <w:rPr>
                <w:sz w:val="20"/>
                <w:szCs w:val="20"/>
                <w:color w:val="auto"/>
              </w:rPr>
            </w:pPr>
            <w:r>
              <w:rPr>
                <w:rFonts w:ascii="Times New Roman" w:cs="Times New Roman" w:eastAsia="Times New Roman" w:hAnsi="Times New Roman"/>
                <w:sz w:val="13"/>
                <w:szCs w:val="13"/>
                <w:color w:val="auto"/>
              </w:rPr>
              <w:t>(525)</w:t>
            </w:r>
          </w:p>
        </w:tc>
        <w:tc>
          <w:tcPr>
            <w:tcW w:w="3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36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i w:val="1"/>
                <w:iCs w:val="1"/>
                <w:color w:val="auto"/>
              </w:rPr>
              <w:t>S&amp;P 500 Index</w:t>
            </w:r>
          </w:p>
        </w:tc>
        <w:tc>
          <w:tcPr>
            <w:tcW w:w="10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660" w:type="dxa"/>
            <w:vAlign w:val="bottom"/>
            <w:shd w:val="clear" w:color="auto" w:fill="CCEEFF"/>
          </w:tcPr>
          <w:p>
            <w:pPr>
              <w:jc w:val="center"/>
              <w:ind w:left="53"/>
              <w:spacing w:after="0"/>
              <w:rPr>
                <w:sz w:val="20"/>
                <w:szCs w:val="20"/>
                <w:color w:val="auto"/>
              </w:rPr>
            </w:pPr>
            <w:r>
              <w:rPr>
                <w:rFonts w:ascii="Times New Roman" w:cs="Times New Roman" w:eastAsia="Times New Roman" w:hAnsi="Times New Roman"/>
                <w:sz w:val="13"/>
                <w:szCs w:val="13"/>
                <w:i w:val="1"/>
                <w:iCs w:val="1"/>
                <w:color w:val="auto"/>
              </w:rPr>
              <w:t>17.80%</w:t>
            </w:r>
          </w:p>
        </w:tc>
        <w:tc>
          <w:tcPr>
            <w:tcW w:w="900" w:type="dxa"/>
            <w:vAlign w:val="bottom"/>
            <w:shd w:val="clear" w:color="auto" w:fill="CCEEFF"/>
          </w:tcPr>
          <w:p>
            <w:pPr>
              <w:jc w:val="center"/>
              <w:ind w:left="53"/>
              <w:spacing w:after="0"/>
              <w:rPr>
                <w:sz w:val="20"/>
                <w:szCs w:val="20"/>
                <w:color w:val="auto"/>
              </w:rPr>
            </w:pPr>
            <w:r>
              <w:rPr>
                <w:rFonts w:ascii="Times New Roman" w:cs="Times New Roman" w:eastAsia="Times New Roman" w:hAnsi="Times New Roman"/>
                <w:sz w:val="13"/>
                <w:szCs w:val="13"/>
                <w:i w:val="1"/>
                <w:iCs w:val="1"/>
                <w:color w:val="auto"/>
              </w:rPr>
              <w:t>18.30%</w:t>
            </w:r>
          </w:p>
        </w:tc>
        <w:tc>
          <w:tcPr>
            <w:tcW w:w="7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i w:val="1"/>
                <w:iCs w:val="1"/>
                <w:color w:val="auto"/>
              </w:rPr>
              <w:t>---</w:t>
            </w:r>
          </w:p>
        </w:tc>
        <w:tc>
          <w:tcPr>
            <w:tcW w:w="860" w:type="dxa"/>
            <w:vAlign w:val="bottom"/>
            <w:shd w:val="clear" w:color="auto" w:fill="CCEEFF"/>
          </w:tcPr>
          <w:p>
            <w:pPr>
              <w:jc w:val="center"/>
              <w:ind w:right="13"/>
              <w:spacing w:after="0"/>
              <w:rPr>
                <w:sz w:val="20"/>
                <w:szCs w:val="20"/>
                <w:color w:val="auto"/>
              </w:rPr>
            </w:pPr>
            <w:r>
              <w:rPr>
                <w:rFonts w:ascii="Times New Roman" w:cs="Times New Roman" w:eastAsia="Times New Roman" w:hAnsi="Times New Roman"/>
                <w:sz w:val="13"/>
                <w:szCs w:val="13"/>
                <w:i w:val="1"/>
                <w:iCs w:val="1"/>
                <w:color w:val="auto"/>
              </w:rPr>
              <w:t>---</w:t>
            </w:r>
          </w:p>
        </w:tc>
        <w:tc>
          <w:tcPr>
            <w:tcW w:w="920" w:type="dxa"/>
            <w:vAlign w:val="bottom"/>
            <w:shd w:val="clear" w:color="auto" w:fill="CCEEFF"/>
          </w:tcPr>
          <w:p>
            <w:pPr>
              <w:jc w:val="center"/>
              <w:ind w:right="93"/>
              <w:spacing w:after="0"/>
              <w:rPr>
                <w:sz w:val="20"/>
                <w:szCs w:val="20"/>
                <w:color w:val="auto"/>
              </w:rPr>
            </w:pPr>
            <w:r>
              <w:rPr>
                <w:rFonts w:ascii="Times New Roman" w:cs="Times New Roman" w:eastAsia="Times New Roman" w:hAnsi="Times New Roman"/>
                <w:sz w:val="13"/>
                <w:szCs w:val="13"/>
                <w:i w:val="1"/>
                <w:iCs w:val="1"/>
                <w:color w:val="auto"/>
                <w:w w:val="99"/>
              </w:rPr>
              <w:t>11.93%</w:t>
            </w:r>
          </w:p>
        </w:tc>
        <w:tc>
          <w:tcPr>
            <w:tcW w:w="10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4"/>
        </w:trPr>
        <w:tc>
          <w:tcPr>
            <w:tcW w:w="362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International Value Group</w:t>
            </w:r>
          </w:p>
        </w:tc>
        <w:tc>
          <w:tcPr>
            <w:tcW w:w="10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4"/>
        </w:trPr>
        <w:tc>
          <w:tcPr>
            <w:tcW w:w="3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International Value Strategy</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7/1/2002</w:t>
            </w:r>
          </w:p>
        </w:tc>
        <w:tc>
          <w:tcPr>
            <w:tcW w:w="500" w:type="dxa"/>
            <w:vAlign w:val="bottom"/>
            <w:shd w:val="clear" w:color="auto" w:fill="CCEEFF"/>
          </w:tcPr>
          <w:p>
            <w:pPr>
              <w:jc w:val="right"/>
              <w:ind w:right="294"/>
              <w:spacing w:after="0"/>
              <w:rPr>
                <w:sz w:val="20"/>
                <w:szCs w:val="20"/>
                <w:color w:val="auto"/>
              </w:rPr>
            </w:pPr>
            <w:r>
              <w:rPr>
                <w:rFonts w:ascii="Times New Roman" w:cs="Times New Roman" w:eastAsia="Times New Roman" w:hAnsi="Times New Roman"/>
                <w:sz w:val="13"/>
                <w:szCs w:val="13"/>
                <w:color w:val="auto"/>
              </w:rPr>
              <w:t>$</w:t>
            </w:r>
          </w:p>
        </w:tc>
        <w:tc>
          <w:tcPr>
            <w:tcW w:w="580" w:type="dxa"/>
            <w:vAlign w:val="bottom"/>
            <w:shd w:val="clear" w:color="auto" w:fill="CCEEFF"/>
          </w:tcPr>
          <w:p>
            <w:pPr>
              <w:jc w:val="right"/>
              <w:ind w:right="93"/>
              <w:spacing w:after="0"/>
              <w:rPr>
                <w:sz w:val="20"/>
                <w:szCs w:val="20"/>
                <w:color w:val="auto"/>
              </w:rPr>
            </w:pPr>
            <w:r>
              <w:rPr>
                <w:rFonts w:ascii="Times New Roman" w:cs="Times New Roman" w:eastAsia="Times New Roman" w:hAnsi="Times New Roman"/>
                <w:sz w:val="13"/>
                <w:szCs w:val="13"/>
                <w:color w:val="auto"/>
              </w:rPr>
              <w:t>50,680</w:t>
            </w:r>
          </w:p>
        </w:tc>
        <w:tc>
          <w:tcPr>
            <w:tcW w:w="660" w:type="dxa"/>
            <w:vAlign w:val="bottom"/>
            <w:shd w:val="clear" w:color="auto" w:fill="CCEEFF"/>
          </w:tcPr>
          <w:p>
            <w:pPr>
              <w:jc w:val="center"/>
              <w:ind w:left="53"/>
              <w:spacing w:after="0"/>
              <w:rPr>
                <w:sz w:val="20"/>
                <w:szCs w:val="20"/>
                <w:color w:val="auto"/>
              </w:rPr>
            </w:pPr>
            <w:r>
              <w:rPr>
                <w:rFonts w:ascii="Times New Roman" w:cs="Times New Roman" w:eastAsia="Times New Roman" w:hAnsi="Times New Roman"/>
                <w:sz w:val="13"/>
                <w:szCs w:val="13"/>
                <w:color w:val="auto"/>
              </w:rPr>
              <w:t>16.07%</w:t>
            </w:r>
          </w:p>
        </w:tc>
        <w:tc>
          <w:tcPr>
            <w:tcW w:w="900" w:type="dxa"/>
            <w:vAlign w:val="bottom"/>
            <w:shd w:val="clear" w:color="auto" w:fill="CCEEFF"/>
          </w:tcPr>
          <w:p>
            <w:pPr>
              <w:jc w:val="center"/>
              <w:ind w:left="53"/>
              <w:spacing w:after="0"/>
              <w:rPr>
                <w:sz w:val="20"/>
                <w:szCs w:val="20"/>
                <w:color w:val="auto"/>
              </w:rPr>
            </w:pPr>
            <w:r>
              <w:rPr>
                <w:rFonts w:ascii="Times New Roman" w:cs="Times New Roman" w:eastAsia="Times New Roman" w:hAnsi="Times New Roman"/>
                <w:sz w:val="13"/>
                <w:szCs w:val="13"/>
                <w:color w:val="auto"/>
              </w:rPr>
              <w:t>14.04%</w:t>
            </w:r>
          </w:p>
        </w:tc>
        <w:tc>
          <w:tcPr>
            <w:tcW w:w="7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10.79%</w:t>
            </w:r>
          </w:p>
        </w:tc>
        <w:tc>
          <w:tcPr>
            <w:tcW w:w="860" w:type="dxa"/>
            <w:vAlign w:val="bottom"/>
            <w:shd w:val="clear" w:color="auto" w:fill="CCEEFF"/>
          </w:tcPr>
          <w:p>
            <w:pPr>
              <w:jc w:val="center"/>
              <w:ind w:right="13"/>
              <w:spacing w:after="0"/>
              <w:rPr>
                <w:sz w:val="20"/>
                <w:szCs w:val="20"/>
                <w:color w:val="auto"/>
              </w:rPr>
            </w:pPr>
            <w:r>
              <w:rPr>
                <w:rFonts w:ascii="Times New Roman" w:cs="Times New Roman" w:eastAsia="Times New Roman" w:hAnsi="Times New Roman"/>
                <w:sz w:val="13"/>
                <w:szCs w:val="13"/>
                <w:color w:val="auto"/>
              </w:rPr>
              <w:t>10.95%</w:t>
            </w:r>
          </w:p>
        </w:tc>
        <w:tc>
          <w:tcPr>
            <w:tcW w:w="920" w:type="dxa"/>
            <w:vAlign w:val="bottom"/>
            <w:shd w:val="clear" w:color="auto" w:fill="CCEEFF"/>
          </w:tcPr>
          <w:p>
            <w:pPr>
              <w:jc w:val="center"/>
              <w:ind w:right="93"/>
              <w:spacing w:after="0"/>
              <w:rPr>
                <w:sz w:val="20"/>
                <w:szCs w:val="20"/>
                <w:color w:val="auto"/>
              </w:rPr>
            </w:pPr>
            <w:r>
              <w:rPr>
                <w:rFonts w:ascii="Times New Roman" w:cs="Times New Roman" w:eastAsia="Times New Roman" w:hAnsi="Times New Roman"/>
                <w:sz w:val="13"/>
                <w:szCs w:val="13"/>
                <w:color w:val="auto"/>
                <w:w w:val="99"/>
              </w:rPr>
              <w:t>11.83%</w:t>
            </w:r>
          </w:p>
        </w:tc>
        <w:tc>
          <w:tcPr>
            <w:tcW w:w="1060" w:type="dxa"/>
            <w:vAlign w:val="bottom"/>
            <w:shd w:val="clear" w:color="auto" w:fill="CCEEFF"/>
          </w:tcPr>
          <w:p>
            <w:pPr>
              <w:jc w:val="center"/>
              <w:ind w:left="353"/>
              <w:spacing w:after="0"/>
              <w:rPr>
                <w:sz w:val="20"/>
                <w:szCs w:val="20"/>
                <w:color w:val="auto"/>
              </w:rPr>
            </w:pPr>
            <w:r>
              <w:rPr>
                <w:rFonts w:ascii="Times New Roman" w:cs="Times New Roman" w:eastAsia="Times New Roman" w:hAnsi="Times New Roman"/>
                <w:sz w:val="13"/>
                <w:szCs w:val="13"/>
                <w:color w:val="auto"/>
              </w:rPr>
              <w:t>508</w:t>
            </w:r>
          </w:p>
        </w:tc>
        <w:tc>
          <w:tcPr>
            <w:tcW w:w="3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3620" w:type="dxa"/>
            <w:vAlign w:val="bottom"/>
          </w:tcPr>
          <w:p>
            <w:pPr>
              <w:ind w:left="140"/>
              <w:spacing w:after="0"/>
              <w:rPr>
                <w:sz w:val="20"/>
                <w:szCs w:val="20"/>
                <w:color w:val="auto"/>
              </w:rPr>
            </w:pPr>
            <w:r>
              <w:rPr>
                <w:rFonts w:ascii="Times New Roman" w:cs="Times New Roman" w:eastAsia="Times New Roman" w:hAnsi="Times New Roman"/>
                <w:sz w:val="13"/>
                <w:szCs w:val="13"/>
                <w:i w:val="1"/>
                <w:iCs w:val="1"/>
                <w:color w:val="auto"/>
              </w:rPr>
              <w:t>MSCI EAFE Index</w:t>
            </w:r>
          </w:p>
        </w:tc>
        <w:tc>
          <w:tcPr>
            <w:tcW w:w="10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60" w:type="dxa"/>
            <w:vAlign w:val="bottom"/>
          </w:tcPr>
          <w:p>
            <w:pPr>
              <w:jc w:val="center"/>
              <w:ind w:left="53"/>
              <w:spacing w:after="0"/>
              <w:rPr>
                <w:sz w:val="20"/>
                <w:szCs w:val="20"/>
                <w:color w:val="auto"/>
              </w:rPr>
            </w:pPr>
            <w:r>
              <w:rPr>
                <w:rFonts w:ascii="Times New Roman" w:cs="Times New Roman" w:eastAsia="Times New Roman" w:hAnsi="Times New Roman"/>
                <w:sz w:val="13"/>
                <w:szCs w:val="13"/>
                <w:i w:val="1"/>
                <w:iCs w:val="1"/>
                <w:color w:val="auto"/>
              </w:rPr>
              <w:t>21.27%</w:t>
            </w:r>
          </w:p>
        </w:tc>
        <w:tc>
          <w:tcPr>
            <w:tcW w:w="900" w:type="dxa"/>
            <w:vAlign w:val="bottom"/>
          </w:tcPr>
          <w:p>
            <w:pPr>
              <w:jc w:val="center"/>
              <w:ind w:left="53"/>
              <w:spacing w:after="0"/>
              <w:rPr>
                <w:sz w:val="20"/>
                <w:szCs w:val="20"/>
                <w:color w:val="auto"/>
              </w:rPr>
            </w:pPr>
            <w:r>
              <w:rPr>
                <w:rFonts w:ascii="Times New Roman" w:cs="Times New Roman" w:eastAsia="Times New Roman" w:hAnsi="Times New Roman"/>
                <w:sz w:val="13"/>
                <w:szCs w:val="13"/>
                <w:i w:val="1"/>
                <w:iCs w:val="1"/>
                <w:color w:val="auto"/>
              </w:rPr>
              <w:t>13.60%</w:t>
            </w:r>
          </w:p>
        </w:tc>
        <w:tc>
          <w:tcPr>
            <w:tcW w:w="780" w:type="dxa"/>
            <w:vAlign w:val="bottom"/>
          </w:tcPr>
          <w:p>
            <w:pPr>
              <w:jc w:val="center"/>
              <w:spacing w:after="0"/>
              <w:rPr>
                <w:sz w:val="20"/>
                <w:szCs w:val="20"/>
                <w:color w:val="auto"/>
              </w:rPr>
            </w:pPr>
            <w:r>
              <w:rPr>
                <w:rFonts w:ascii="Times New Roman" w:cs="Times New Roman" w:eastAsia="Times New Roman" w:hAnsi="Times New Roman"/>
                <w:sz w:val="13"/>
                <w:szCs w:val="13"/>
                <w:i w:val="1"/>
                <w:iCs w:val="1"/>
                <w:color w:val="auto"/>
              </w:rPr>
              <w:t>7.91%</w:t>
            </w:r>
          </w:p>
        </w:tc>
        <w:tc>
          <w:tcPr>
            <w:tcW w:w="860" w:type="dxa"/>
            <w:vAlign w:val="bottom"/>
          </w:tcPr>
          <w:p>
            <w:pPr>
              <w:jc w:val="center"/>
              <w:ind w:right="13"/>
              <w:spacing w:after="0"/>
              <w:rPr>
                <w:sz w:val="20"/>
                <w:szCs w:val="20"/>
                <w:color w:val="auto"/>
              </w:rPr>
            </w:pPr>
            <w:r>
              <w:rPr>
                <w:rFonts w:ascii="Times New Roman" w:cs="Times New Roman" w:eastAsia="Times New Roman" w:hAnsi="Times New Roman"/>
                <w:sz w:val="13"/>
                <w:szCs w:val="13"/>
                <w:i w:val="1"/>
                <w:iCs w:val="1"/>
                <w:color w:val="auto"/>
              </w:rPr>
              <w:t>8.37%</w:t>
            </w:r>
          </w:p>
        </w:tc>
        <w:tc>
          <w:tcPr>
            <w:tcW w:w="920" w:type="dxa"/>
            <w:vAlign w:val="bottom"/>
          </w:tcPr>
          <w:p>
            <w:pPr>
              <w:jc w:val="center"/>
              <w:ind w:right="93"/>
              <w:spacing w:after="0"/>
              <w:rPr>
                <w:sz w:val="20"/>
                <w:szCs w:val="20"/>
                <w:color w:val="auto"/>
              </w:rPr>
            </w:pPr>
            <w:r>
              <w:rPr>
                <w:rFonts w:ascii="Times New Roman" w:cs="Times New Roman" w:eastAsia="Times New Roman" w:hAnsi="Times New Roman"/>
                <w:sz w:val="13"/>
                <w:szCs w:val="13"/>
                <w:i w:val="1"/>
                <w:iCs w:val="1"/>
                <w:color w:val="auto"/>
              </w:rPr>
              <w:t>6.75%</w:t>
            </w:r>
          </w:p>
        </w:tc>
        <w:tc>
          <w:tcPr>
            <w:tcW w:w="10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3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International Explorer Strategy</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11/1/2020</w:t>
            </w:r>
          </w:p>
        </w:tc>
        <w:tc>
          <w:tcPr>
            <w:tcW w:w="500" w:type="dxa"/>
            <w:vAlign w:val="bottom"/>
            <w:shd w:val="clear" w:color="auto" w:fill="CCEEFF"/>
          </w:tcPr>
          <w:p>
            <w:pPr>
              <w:jc w:val="right"/>
              <w:ind w:right="294"/>
              <w:spacing w:after="0"/>
              <w:rPr>
                <w:sz w:val="20"/>
                <w:szCs w:val="20"/>
                <w:color w:val="auto"/>
              </w:rPr>
            </w:pPr>
            <w:r>
              <w:rPr>
                <w:rFonts w:ascii="Times New Roman" w:cs="Times New Roman" w:eastAsia="Times New Roman" w:hAnsi="Times New Roman"/>
                <w:sz w:val="13"/>
                <w:szCs w:val="13"/>
                <w:color w:val="auto"/>
              </w:rPr>
              <w:t>$</w:t>
            </w:r>
          </w:p>
        </w:tc>
        <w:tc>
          <w:tcPr>
            <w:tcW w:w="580" w:type="dxa"/>
            <w:vAlign w:val="bottom"/>
            <w:shd w:val="clear" w:color="auto" w:fill="CCEEFF"/>
          </w:tcPr>
          <w:p>
            <w:pPr>
              <w:jc w:val="right"/>
              <w:ind w:right="93"/>
              <w:spacing w:after="0"/>
              <w:rPr>
                <w:sz w:val="20"/>
                <w:szCs w:val="20"/>
                <w:color w:val="auto"/>
              </w:rPr>
            </w:pPr>
            <w:r>
              <w:rPr>
                <w:rFonts w:ascii="Times New Roman" w:cs="Times New Roman" w:eastAsia="Times New Roman" w:hAnsi="Times New Roman"/>
                <w:sz w:val="13"/>
                <w:szCs w:val="13"/>
                <w:color w:val="auto"/>
              </w:rPr>
              <w:t>1,027</w:t>
            </w:r>
          </w:p>
        </w:tc>
        <w:tc>
          <w:tcPr>
            <w:tcW w:w="660" w:type="dxa"/>
            <w:vAlign w:val="bottom"/>
            <w:shd w:val="clear" w:color="auto" w:fill="CCEEFF"/>
          </w:tcPr>
          <w:p>
            <w:pPr>
              <w:jc w:val="center"/>
              <w:ind w:left="53"/>
              <w:spacing w:after="0"/>
              <w:rPr>
                <w:sz w:val="20"/>
                <w:szCs w:val="20"/>
                <w:color w:val="auto"/>
              </w:rPr>
            </w:pPr>
            <w:r>
              <w:rPr>
                <w:rFonts w:ascii="Times New Roman" w:cs="Times New Roman" w:eastAsia="Times New Roman" w:hAnsi="Times New Roman"/>
                <w:sz w:val="13"/>
                <w:szCs w:val="13"/>
                <w:color w:val="auto"/>
              </w:rPr>
              <w:t>16.75%</w:t>
            </w:r>
          </w:p>
        </w:tc>
        <w:tc>
          <w:tcPr>
            <w:tcW w:w="900" w:type="dxa"/>
            <w:vAlign w:val="bottom"/>
            <w:shd w:val="clear" w:color="auto" w:fill="CCEEFF"/>
          </w:tcPr>
          <w:p>
            <w:pPr>
              <w:jc w:val="center"/>
              <w:ind w:left="53"/>
              <w:spacing w:after="0"/>
              <w:rPr>
                <w:sz w:val="20"/>
                <w:szCs w:val="20"/>
                <w:color w:val="auto"/>
              </w:rPr>
            </w:pPr>
            <w:r>
              <w:rPr>
                <w:rFonts w:ascii="Times New Roman" w:cs="Times New Roman" w:eastAsia="Times New Roman" w:hAnsi="Times New Roman"/>
                <w:sz w:val="13"/>
                <w:szCs w:val="13"/>
                <w:color w:val="auto"/>
              </w:rPr>
              <w:t>12.20%</w:t>
            </w:r>
          </w:p>
        </w:tc>
        <w:tc>
          <w:tcPr>
            <w:tcW w:w="7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9.24%</w:t>
            </w:r>
          </w:p>
        </w:tc>
        <w:tc>
          <w:tcPr>
            <w:tcW w:w="860" w:type="dxa"/>
            <w:vAlign w:val="bottom"/>
            <w:shd w:val="clear" w:color="auto" w:fill="CCEEFF"/>
          </w:tcPr>
          <w:p>
            <w:pPr>
              <w:jc w:val="center"/>
              <w:ind w:right="13"/>
              <w:spacing w:after="0"/>
              <w:rPr>
                <w:sz w:val="20"/>
                <w:szCs w:val="20"/>
                <w:color w:val="auto"/>
              </w:rPr>
            </w:pPr>
            <w:r>
              <w:rPr>
                <w:rFonts w:ascii="Times New Roman" w:cs="Times New Roman" w:eastAsia="Times New Roman" w:hAnsi="Times New Roman"/>
                <w:sz w:val="13"/>
                <w:szCs w:val="13"/>
                <w:color w:val="auto"/>
              </w:rPr>
              <w:t>---</w:t>
            </w:r>
          </w:p>
        </w:tc>
        <w:tc>
          <w:tcPr>
            <w:tcW w:w="920" w:type="dxa"/>
            <w:vAlign w:val="bottom"/>
            <w:shd w:val="clear" w:color="auto" w:fill="CCEEFF"/>
          </w:tcPr>
          <w:p>
            <w:pPr>
              <w:jc w:val="center"/>
              <w:ind w:right="73"/>
              <w:spacing w:after="0"/>
              <w:rPr>
                <w:sz w:val="20"/>
                <w:szCs w:val="20"/>
                <w:color w:val="auto"/>
              </w:rPr>
            </w:pPr>
            <w:r>
              <w:rPr>
                <w:rFonts w:ascii="Times New Roman" w:cs="Times New Roman" w:eastAsia="Times New Roman" w:hAnsi="Times New Roman"/>
                <w:sz w:val="13"/>
                <w:szCs w:val="13"/>
                <w:color w:val="auto"/>
              </w:rPr>
              <w:t>14.66%</w:t>
            </w:r>
          </w:p>
        </w:tc>
        <w:tc>
          <w:tcPr>
            <w:tcW w:w="1060" w:type="dxa"/>
            <w:vAlign w:val="bottom"/>
            <w:shd w:val="clear" w:color="auto" w:fill="CCEEFF"/>
          </w:tcPr>
          <w:p>
            <w:pPr>
              <w:jc w:val="center"/>
              <w:ind w:left="353"/>
              <w:spacing w:after="0"/>
              <w:rPr>
                <w:sz w:val="20"/>
                <w:szCs w:val="20"/>
                <w:color w:val="auto"/>
              </w:rPr>
            </w:pPr>
            <w:r>
              <w:rPr>
                <w:rFonts w:ascii="Times New Roman" w:cs="Times New Roman" w:eastAsia="Times New Roman" w:hAnsi="Times New Roman"/>
                <w:sz w:val="13"/>
                <w:szCs w:val="13"/>
                <w:color w:val="auto"/>
              </w:rPr>
              <w:t>446</w:t>
            </w:r>
          </w:p>
        </w:tc>
        <w:tc>
          <w:tcPr>
            <w:tcW w:w="3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3620" w:type="dxa"/>
            <w:vAlign w:val="bottom"/>
          </w:tcPr>
          <w:p>
            <w:pPr>
              <w:ind w:left="140"/>
              <w:spacing w:after="0"/>
              <w:rPr>
                <w:sz w:val="20"/>
                <w:szCs w:val="20"/>
                <w:color w:val="auto"/>
              </w:rPr>
            </w:pPr>
            <w:r>
              <w:rPr>
                <w:rFonts w:ascii="Times New Roman" w:cs="Times New Roman" w:eastAsia="Times New Roman" w:hAnsi="Times New Roman"/>
                <w:sz w:val="13"/>
                <w:szCs w:val="13"/>
                <w:i w:val="1"/>
                <w:iCs w:val="1"/>
                <w:color w:val="auto"/>
              </w:rPr>
              <w:t>MSCI All Country World Index Ex USA Small Cap</w:t>
            </w:r>
          </w:p>
        </w:tc>
        <w:tc>
          <w:tcPr>
            <w:tcW w:w="10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60" w:type="dxa"/>
            <w:vAlign w:val="bottom"/>
          </w:tcPr>
          <w:p>
            <w:pPr>
              <w:jc w:val="center"/>
              <w:ind w:left="53"/>
              <w:spacing w:after="0"/>
              <w:rPr>
                <w:sz w:val="20"/>
                <w:szCs w:val="20"/>
                <w:color w:val="auto"/>
              </w:rPr>
            </w:pPr>
            <w:r>
              <w:rPr>
                <w:rFonts w:ascii="Times New Roman" w:cs="Times New Roman" w:eastAsia="Times New Roman" w:hAnsi="Times New Roman"/>
                <w:sz w:val="13"/>
                <w:szCs w:val="13"/>
                <w:i w:val="1"/>
                <w:iCs w:val="1"/>
                <w:color w:val="auto"/>
              </w:rPr>
              <w:t>27.82%</w:t>
            </w:r>
          </w:p>
        </w:tc>
        <w:tc>
          <w:tcPr>
            <w:tcW w:w="900" w:type="dxa"/>
            <w:vAlign w:val="bottom"/>
          </w:tcPr>
          <w:p>
            <w:pPr>
              <w:jc w:val="center"/>
              <w:ind w:left="53"/>
              <w:spacing w:after="0"/>
              <w:rPr>
                <w:sz w:val="20"/>
                <w:szCs w:val="20"/>
                <w:color w:val="auto"/>
              </w:rPr>
            </w:pPr>
            <w:r>
              <w:rPr>
                <w:rFonts w:ascii="Times New Roman" w:cs="Times New Roman" w:eastAsia="Times New Roman" w:hAnsi="Times New Roman"/>
                <w:sz w:val="13"/>
                <w:szCs w:val="13"/>
                <w:i w:val="1"/>
                <w:iCs w:val="1"/>
                <w:color w:val="auto"/>
              </w:rPr>
              <w:t>13.66%</w:t>
            </w:r>
          </w:p>
        </w:tc>
        <w:tc>
          <w:tcPr>
            <w:tcW w:w="780" w:type="dxa"/>
            <w:vAlign w:val="bottom"/>
          </w:tcPr>
          <w:p>
            <w:pPr>
              <w:jc w:val="center"/>
              <w:spacing w:after="0"/>
              <w:rPr>
                <w:sz w:val="20"/>
                <w:szCs w:val="20"/>
                <w:color w:val="auto"/>
              </w:rPr>
            </w:pPr>
            <w:r>
              <w:rPr>
                <w:rFonts w:ascii="Times New Roman" w:cs="Times New Roman" w:eastAsia="Times New Roman" w:hAnsi="Times New Roman"/>
                <w:sz w:val="13"/>
                <w:szCs w:val="13"/>
                <w:i w:val="1"/>
                <w:iCs w:val="1"/>
                <w:color w:val="auto"/>
              </w:rPr>
              <w:t>5.66%</w:t>
            </w:r>
          </w:p>
        </w:tc>
        <w:tc>
          <w:tcPr>
            <w:tcW w:w="860" w:type="dxa"/>
            <w:vAlign w:val="bottom"/>
          </w:tcPr>
          <w:p>
            <w:pPr>
              <w:jc w:val="center"/>
              <w:ind w:right="13"/>
              <w:spacing w:after="0"/>
              <w:rPr>
                <w:sz w:val="20"/>
                <w:szCs w:val="20"/>
                <w:color w:val="auto"/>
              </w:rPr>
            </w:pPr>
            <w:r>
              <w:rPr>
                <w:rFonts w:ascii="Times New Roman" w:cs="Times New Roman" w:eastAsia="Times New Roman" w:hAnsi="Times New Roman"/>
                <w:sz w:val="13"/>
                <w:szCs w:val="13"/>
                <w:i w:val="1"/>
                <w:iCs w:val="1"/>
                <w:color w:val="auto"/>
              </w:rPr>
              <w:t>---</w:t>
            </w:r>
          </w:p>
        </w:tc>
        <w:tc>
          <w:tcPr>
            <w:tcW w:w="920" w:type="dxa"/>
            <w:vAlign w:val="bottom"/>
          </w:tcPr>
          <w:p>
            <w:pPr>
              <w:jc w:val="center"/>
              <w:ind w:right="73"/>
              <w:spacing w:after="0"/>
              <w:rPr>
                <w:sz w:val="20"/>
                <w:szCs w:val="20"/>
                <w:color w:val="auto"/>
              </w:rPr>
            </w:pPr>
            <w:r>
              <w:rPr>
                <w:rFonts w:ascii="Times New Roman" w:cs="Times New Roman" w:eastAsia="Times New Roman" w:hAnsi="Times New Roman"/>
                <w:sz w:val="13"/>
                <w:szCs w:val="13"/>
                <w:i w:val="1"/>
                <w:iCs w:val="1"/>
                <w:color w:val="auto"/>
              </w:rPr>
              <w:t>10.20%</w:t>
            </w:r>
          </w:p>
        </w:tc>
        <w:tc>
          <w:tcPr>
            <w:tcW w:w="10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3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Global Special Situations Strategy</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4/1/2025</w:t>
            </w:r>
          </w:p>
        </w:tc>
        <w:tc>
          <w:tcPr>
            <w:tcW w:w="500" w:type="dxa"/>
            <w:vAlign w:val="bottom"/>
            <w:shd w:val="clear" w:color="auto" w:fill="CCEEFF"/>
          </w:tcPr>
          <w:p>
            <w:pPr>
              <w:jc w:val="right"/>
              <w:ind w:right="294"/>
              <w:spacing w:after="0"/>
              <w:rPr>
                <w:sz w:val="20"/>
                <w:szCs w:val="20"/>
                <w:color w:val="auto"/>
              </w:rPr>
            </w:pPr>
            <w:r>
              <w:rPr>
                <w:rFonts w:ascii="Times New Roman" w:cs="Times New Roman" w:eastAsia="Times New Roman" w:hAnsi="Times New Roman"/>
                <w:sz w:val="13"/>
                <w:szCs w:val="13"/>
                <w:color w:val="auto"/>
              </w:rPr>
              <w:t>$</w:t>
            </w:r>
          </w:p>
        </w:tc>
        <w:tc>
          <w:tcPr>
            <w:tcW w:w="580" w:type="dxa"/>
            <w:vAlign w:val="bottom"/>
            <w:shd w:val="clear" w:color="auto" w:fill="CCEEFF"/>
          </w:tcPr>
          <w:p>
            <w:pPr>
              <w:jc w:val="right"/>
              <w:ind w:right="93"/>
              <w:spacing w:after="0"/>
              <w:rPr>
                <w:sz w:val="20"/>
                <w:szCs w:val="20"/>
                <w:color w:val="auto"/>
              </w:rPr>
            </w:pPr>
            <w:r>
              <w:rPr>
                <w:rFonts w:ascii="Times New Roman" w:cs="Times New Roman" w:eastAsia="Times New Roman" w:hAnsi="Times New Roman"/>
                <w:sz w:val="13"/>
                <w:szCs w:val="13"/>
                <w:color w:val="auto"/>
              </w:rPr>
              <w:t>36</w:t>
            </w:r>
          </w:p>
        </w:tc>
        <w:tc>
          <w:tcPr>
            <w:tcW w:w="660" w:type="dxa"/>
            <w:vAlign w:val="bottom"/>
            <w:shd w:val="clear" w:color="auto" w:fill="CCEEFF"/>
          </w:tcPr>
          <w:p>
            <w:pPr>
              <w:jc w:val="center"/>
              <w:ind w:left="33"/>
              <w:spacing w:after="0"/>
              <w:rPr>
                <w:sz w:val="20"/>
                <w:szCs w:val="20"/>
                <w:color w:val="auto"/>
              </w:rPr>
            </w:pPr>
            <w:r>
              <w:rPr>
                <w:rFonts w:ascii="Times New Roman" w:cs="Times New Roman" w:eastAsia="Times New Roman" w:hAnsi="Times New Roman"/>
                <w:sz w:val="13"/>
                <w:szCs w:val="13"/>
                <w:color w:val="auto"/>
              </w:rPr>
              <w:t>9.01%</w:t>
            </w:r>
          </w:p>
        </w:tc>
        <w:tc>
          <w:tcPr>
            <w:tcW w:w="900" w:type="dxa"/>
            <w:vAlign w:val="bottom"/>
            <w:shd w:val="clear" w:color="auto" w:fill="CCEEFF"/>
          </w:tcPr>
          <w:p>
            <w:pPr>
              <w:jc w:val="center"/>
              <w:ind w:left="53"/>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w:t>
            </w:r>
          </w:p>
        </w:tc>
        <w:tc>
          <w:tcPr>
            <w:tcW w:w="860" w:type="dxa"/>
            <w:vAlign w:val="bottom"/>
            <w:shd w:val="clear" w:color="auto" w:fill="CCEEFF"/>
          </w:tcPr>
          <w:p>
            <w:pPr>
              <w:jc w:val="center"/>
              <w:ind w:right="13"/>
              <w:spacing w:after="0"/>
              <w:rPr>
                <w:sz w:val="20"/>
                <w:szCs w:val="20"/>
                <w:color w:val="auto"/>
              </w:rPr>
            </w:pPr>
            <w:r>
              <w:rPr>
                <w:rFonts w:ascii="Times New Roman" w:cs="Times New Roman" w:eastAsia="Times New Roman" w:hAnsi="Times New Roman"/>
                <w:sz w:val="13"/>
                <w:szCs w:val="13"/>
                <w:color w:val="auto"/>
              </w:rPr>
              <w:t>---</w:t>
            </w:r>
          </w:p>
        </w:tc>
        <w:tc>
          <w:tcPr>
            <w:tcW w:w="920" w:type="dxa"/>
            <w:vAlign w:val="bottom"/>
            <w:shd w:val="clear" w:color="auto" w:fill="CCEEFF"/>
          </w:tcPr>
          <w:p>
            <w:pPr>
              <w:jc w:val="center"/>
              <w:ind w:right="93"/>
              <w:spacing w:after="0"/>
              <w:rPr>
                <w:sz w:val="20"/>
                <w:szCs w:val="20"/>
                <w:color w:val="auto"/>
              </w:rPr>
            </w:pPr>
            <w:r>
              <w:rPr>
                <w:rFonts w:ascii="Times New Roman" w:cs="Times New Roman" w:eastAsia="Times New Roman" w:hAnsi="Times New Roman"/>
                <w:sz w:val="13"/>
                <w:szCs w:val="13"/>
                <w:color w:val="auto"/>
              </w:rPr>
              <w:t>9.01%</w:t>
            </w:r>
          </w:p>
        </w:tc>
        <w:tc>
          <w:tcPr>
            <w:tcW w:w="1060" w:type="dxa"/>
            <w:vAlign w:val="bottom"/>
            <w:shd w:val="clear" w:color="auto" w:fill="CCEEFF"/>
          </w:tcPr>
          <w:p>
            <w:pPr>
              <w:jc w:val="center"/>
              <w:ind w:left="353"/>
              <w:spacing w:after="0"/>
              <w:rPr>
                <w:sz w:val="20"/>
                <w:szCs w:val="20"/>
                <w:color w:val="auto"/>
              </w:rPr>
            </w:pPr>
            <w:r>
              <w:rPr>
                <w:rFonts w:ascii="Times New Roman" w:cs="Times New Roman" w:eastAsia="Times New Roman" w:hAnsi="Times New Roman"/>
                <w:sz w:val="13"/>
                <w:szCs w:val="13"/>
                <w:color w:val="auto"/>
              </w:rPr>
              <w:t>157</w:t>
            </w:r>
          </w:p>
        </w:tc>
        <w:tc>
          <w:tcPr>
            <w:tcW w:w="3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3620" w:type="dxa"/>
            <w:vAlign w:val="bottom"/>
          </w:tcPr>
          <w:p>
            <w:pPr>
              <w:ind w:left="140"/>
              <w:spacing w:after="0"/>
              <w:rPr>
                <w:sz w:val="20"/>
                <w:szCs w:val="20"/>
                <w:color w:val="auto"/>
              </w:rPr>
            </w:pPr>
            <w:r>
              <w:rPr>
                <w:rFonts w:ascii="Times New Roman" w:cs="Times New Roman" w:eastAsia="Times New Roman" w:hAnsi="Times New Roman"/>
                <w:sz w:val="13"/>
                <w:szCs w:val="13"/>
                <w:i w:val="1"/>
                <w:iCs w:val="1"/>
                <w:color w:val="auto"/>
              </w:rPr>
              <w:t>ICE BofA Global High Yield Index</w:t>
            </w:r>
          </w:p>
        </w:tc>
        <w:tc>
          <w:tcPr>
            <w:tcW w:w="10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60" w:type="dxa"/>
            <w:vAlign w:val="bottom"/>
          </w:tcPr>
          <w:p>
            <w:pPr>
              <w:jc w:val="center"/>
              <w:ind w:left="33"/>
              <w:spacing w:after="0"/>
              <w:rPr>
                <w:sz w:val="20"/>
                <w:szCs w:val="20"/>
                <w:color w:val="auto"/>
              </w:rPr>
            </w:pPr>
            <w:r>
              <w:rPr>
                <w:rFonts w:ascii="Times New Roman" w:cs="Times New Roman" w:eastAsia="Times New Roman" w:hAnsi="Times New Roman"/>
                <w:sz w:val="13"/>
                <w:szCs w:val="13"/>
                <w:i w:val="1"/>
                <w:iCs w:val="1"/>
                <w:color w:val="auto"/>
              </w:rPr>
              <w:t>7.44%</w:t>
            </w:r>
          </w:p>
        </w:tc>
        <w:tc>
          <w:tcPr>
            <w:tcW w:w="900" w:type="dxa"/>
            <w:vAlign w:val="bottom"/>
          </w:tcPr>
          <w:p>
            <w:pPr>
              <w:jc w:val="center"/>
              <w:ind w:left="53"/>
              <w:spacing w:after="0"/>
              <w:rPr>
                <w:sz w:val="20"/>
                <w:szCs w:val="20"/>
                <w:color w:val="auto"/>
              </w:rPr>
            </w:pPr>
            <w:r>
              <w:rPr>
                <w:rFonts w:ascii="Times New Roman" w:cs="Times New Roman" w:eastAsia="Times New Roman" w:hAnsi="Times New Roman"/>
                <w:sz w:val="13"/>
                <w:szCs w:val="13"/>
                <w:i w:val="1"/>
                <w:iCs w:val="1"/>
                <w:color w:val="auto"/>
              </w:rPr>
              <w:t>---</w:t>
            </w:r>
          </w:p>
        </w:tc>
        <w:tc>
          <w:tcPr>
            <w:tcW w:w="780" w:type="dxa"/>
            <w:vAlign w:val="bottom"/>
          </w:tcPr>
          <w:p>
            <w:pPr>
              <w:jc w:val="center"/>
              <w:spacing w:after="0"/>
              <w:rPr>
                <w:sz w:val="20"/>
                <w:szCs w:val="20"/>
                <w:color w:val="auto"/>
              </w:rPr>
            </w:pPr>
            <w:r>
              <w:rPr>
                <w:rFonts w:ascii="Times New Roman" w:cs="Times New Roman" w:eastAsia="Times New Roman" w:hAnsi="Times New Roman"/>
                <w:sz w:val="13"/>
                <w:szCs w:val="13"/>
                <w:i w:val="1"/>
                <w:iCs w:val="1"/>
                <w:color w:val="auto"/>
              </w:rPr>
              <w:t>---</w:t>
            </w:r>
          </w:p>
        </w:tc>
        <w:tc>
          <w:tcPr>
            <w:tcW w:w="860" w:type="dxa"/>
            <w:vAlign w:val="bottom"/>
          </w:tcPr>
          <w:p>
            <w:pPr>
              <w:jc w:val="center"/>
              <w:ind w:right="13"/>
              <w:spacing w:after="0"/>
              <w:rPr>
                <w:sz w:val="20"/>
                <w:szCs w:val="20"/>
                <w:color w:val="auto"/>
              </w:rPr>
            </w:pPr>
            <w:r>
              <w:rPr>
                <w:rFonts w:ascii="Times New Roman" w:cs="Times New Roman" w:eastAsia="Times New Roman" w:hAnsi="Times New Roman"/>
                <w:sz w:val="13"/>
                <w:szCs w:val="13"/>
                <w:i w:val="1"/>
                <w:iCs w:val="1"/>
                <w:color w:val="auto"/>
              </w:rPr>
              <w:t>---</w:t>
            </w:r>
          </w:p>
        </w:tc>
        <w:tc>
          <w:tcPr>
            <w:tcW w:w="920" w:type="dxa"/>
            <w:vAlign w:val="bottom"/>
          </w:tcPr>
          <w:p>
            <w:pPr>
              <w:jc w:val="center"/>
              <w:ind w:right="93"/>
              <w:spacing w:after="0"/>
              <w:rPr>
                <w:sz w:val="20"/>
                <w:szCs w:val="20"/>
                <w:color w:val="auto"/>
              </w:rPr>
            </w:pPr>
            <w:r>
              <w:rPr>
                <w:rFonts w:ascii="Times New Roman" w:cs="Times New Roman" w:eastAsia="Times New Roman" w:hAnsi="Times New Roman"/>
                <w:sz w:val="13"/>
                <w:szCs w:val="13"/>
                <w:i w:val="1"/>
                <w:iCs w:val="1"/>
                <w:color w:val="auto"/>
              </w:rPr>
              <w:t>7.44%</w:t>
            </w:r>
          </w:p>
        </w:tc>
        <w:tc>
          <w:tcPr>
            <w:tcW w:w="10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3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Global Value Team</w:t>
            </w:r>
          </w:p>
        </w:tc>
        <w:tc>
          <w:tcPr>
            <w:tcW w:w="100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2"/>
        </w:trPr>
        <w:tc>
          <w:tcPr>
            <w:tcW w:w="36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Global Value Strategy</w:t>
            </w: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7/1/2007</w:t>
            </w:r>
          </w:p>
        </w:tc>
        <w:tc>
          <w:tcPr>
            <w:tcW w:w="500" w:type="dxa"/>
            <w:vAlign w:val="bottom"/>
          </w:tcPr>
          <w:p>
            <w:pPr>
              <w:jc w:val="right"/>
              <w:ind w:right="294"/>
              <w:spacing w:after="0"/>
              <w:rPr>
                <w:sz w:val="20"/>
                <w:szCs w:val="20"/>
                <w:color w:val="auto"/>
              </w:rPr>
            </w:pPr>
            <w:r>
              <w:rPr>
                <w:rFonts w:ascii="Times New Roman" w:cs="Times New Roman" w:eastAsia="Times New Roman" w:hAnsi="Times New Roman"/>
                <w:sz w:val="13"/>
                <w:szCs w:val="13"/>
                <w:color w:val="auto"/>
              </w:rPr>
              <w:t>$</w:t>
            </w:r>
          </w:p>
        </w:tc>
        <w:tc>
          <w:tcPr>
            <w:tcW w:w="580" w:type="dxa"/>
            <w:vAlign w:val="bottom"/>
          </w:tcPr>
          <w:p>
            <w:pPr>
              <w:jc w:val="right"/>
              <w:ind w:right="93"/>
              <w:spacing w:after="0"/>
              <w:rPr>
                <w:sz w:val="20"/>
                <w:szCs w:val="20"/>
                <w:color w:val="auto"/>
              </w:rPr>
            </w:pPr>
            <w:r>
              <w:rPr>
                <w:rFonts w:ascii="Times New Roman" w:cs="Times New Roman" w:eastAsia="Times New Roman" w:hAnsi="Times New Roman"/>
                <w:sz w:val="13"/>
                <w:szCs w:val="13"/>
                <w:color w:val="auto"/>
              </w:rPr>
              <w:t>34,861</w:t>
            </w:r>
          </w:p>
        </w:tc>
        <w:tc>
          <w:tcPr>
            <w:tcW w:w="660" w:type="dxa"/>
            <w:vAlign w:val="bottom"/>
          </w:tcPr>
          <w:p>
            <w:pPr>
              <w:jc w:val="center"/>
              <w:ind w:left="53"/>
              <w:spacing w:after="0"/>
              <w:rPr>
                <w:sz w:val="20"/>
                <w:szCs w:val="20"/>
                <w:color w:val="auto"/>
              </w:rPr>
            </w:pPr>
            <w:r>
              <w:rPr>
                <w:rFonts w:ascii="Times New Roman" w:cs="Times New Roman" w:eastAsia="Times New Roman" w:hAnsi="Times New Roman"/>
                <w:sz w:val="13"/>
                <w:szCs w:val="13"/>
                <w:color w:val="auto"/>
              </w:rPr>
              <w:t>20.28%</w:t>
            </w:r>
          </w:p>
        </w:tc>
        <w:tc>
          <w:tcPr>
            <w:tcW w:w="900" w:type="dxa"/>
            <w:vAlign w:val="bottom"/>
          </w:tcPr>
          <w:p>
            <w:pPr>
              <w:jc w:val="center"/>
              <w:ind w:left="53"/>
              <w:spacing w:after="0"/>
              <w:rPr>
                <w:sz w:val="20"/>
                <w:szCs w:val="20"/>
                <w:color w:val="auto"/>
              </w:rPr>
            </w:pPr>
            <w:r>
              <w:rPr>
                <w:rFonts w:ascii="Times New Roman" w:cs="Times New Roman" w:eastAsia="Times New Roman" w:hAnsi="Times New Roman"/>
                <w:sz w:val="13"/>
                <w:szCs w:val="13"/>
                <w:color w:val="auto"/>
              </w:rPr>
              <w:t>19.47%</w:t>
            </w:r>
          </w:p>
        </w:tc>
        <w:tc>
          <w:tcPr>
            <w:tcW w:w="78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11.77%</w:t>
            </w:r>
          </w:p>
        </w:tc>
        <w:tc>
          <w:tcPr>
            <w:tcW w:w="860" w:type="dxa"/>
            <w:vAlign w:val="bottom"/>
          </w:tcPr>
          <w:p>
            <w:pPr>
              <w:jc w:val="center"/>
              <w:ind w:right="13"/>
              <w:spacing w:after="0"/>
              <w:rPr>
                <w:sz w:val="20"/>
                <w:szCs w:val="20"/>
                <w:color w:val="auto"/>
              </w:rPr>
            </w:pPr>
            <w:r>
              <w:rPr>
                <w:rFonts w:ascii="Times New Roman" w:cs="Times New Roman" w:eastAsia="Times New Roman" w:hAnsi="Times New Roman"/>
                <w:sz w:val="13"/>
                <w:szCs w:val="13"/>
                <w:color w:val="auto"/>
              </w:rPr>
              <w:t>11.90%</w:t>
            </w:r>
          </w:p>
        </w:tc>
        <w:tc>
          <w:tcPr>
            <w:tcW w:w="920" w:type="dxa"/>
            <w:vAlign w:val="bottom"/>
          </w:tcPr>
          <w:p>
            <w:pPr>
              <w:jc w:val="center"/>
              <w:ind w:right="93"/>
              <w:spacing w:after="0"/>
              <w:rPr>
                <w:sz w:val="20"/>
                <w:szCs w:val="20"/>
                <w:color w:val="auto"/>
              </w:rPr>
            </w:pPr>
            <w:r>
              <w:rPr>
                <w:rFonts w:ascii="Times New Roman" w:cs="Times New Roman" w:eastAsia="Times New Roman" w:hAnsi="Times New Roman"/>
                <w:sz w:val="13"/>
                <w:szCs w:val="13"/>
                <w:color w:val="auto"/>
              </w:rPr>
              <w:t>9.88%</w:t>
            </w:r>
          </w:p>
        </w:tc>
        <w:tc>
          <w:tcPr>
            <w:tcW w:w="1060" w:type="dxa"/>
            <w:vAlign w:val="bottom"/>
          </w:tcPr>
          <w:p>
            <w:pPr>
              <w:jc w:val="center"/>
              <w:ind w:left="353"/>
              <w:spacing w:after="0"/>
              <w:rPr>
                <w:sz w:val="20"/>
                <w:szCs w:val="20"/>
                <w:color w:val="auto"/>
              </w:rPr>
            </w:pPr>
            <w:r>
              <w:rPr>
                <w:rFonts w:ascii="Times New Roman" w:cs="Times New Roman" w:eastAsia="Times New Roman" w:hAnsi="Times New Roman"/>
                <w:sz w:val="13"/>
                <w:szCs w:val="13"/>
                <w:color w:val="auto"/>
              </w:rPr>
              <w:t>296</w:t>
            </w:r>
          </w:p>
        </w:tc>
        <w:tc>
          <w:tcPr>
            <w:tcW w:w="3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36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i w:val="1"/>
                <w:iCs w:val="1"/>
                <w:color w:val="auto"/>
              </w:rPr>
              <w:t>MSCI All Country World Index</w:t>
            </w:r>
          </w:p>
        </w:tc>
        <w:tc>
          <w:tcPr>
            <w:tcW w:w="10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660" w:type="dxa"/>
            <w:vAlign w:val="bottom"/>
            <w:shd w:val="clear" w:color="auto" w:fill="CCEEFF"/>
          </w:tcPr>
          <w:p>
            <w:pPr>
              <w:jc w:val="center"/>
              <w:ind w:left="53"/>
              <w:spacing w:after="0"/>
              <w:rPr>
                <w:sz w:val="20"/>
                <w:szCs w:val="20"/>
                <w:color w:val="auto"/>
              </w:rPr>
            </w:pPr>
            <w:r>
              <w:rPr>
                <w:rFonts w:ascii="Times New Roman" w:cs="Times New Roman" w:eastAsia="Times New Roman" w:hAnsi="Times New Roman"/>
                <w:sz w:val="13"/>
                <w:szCs w:val="13"/>
                <w:i w:val="1"/>
                <w:iCs w:val="1"/>
                <w:color w:val="auto"/>
              </w:rPr>
              <w:t>20.01%</w:t>
            </w:r>
          </w:p>
        </w:tc>
        <w:tc>
          <w:tcPr>
            <w:tcW w:w="900" w:type="dxa"/>
            <w:vAlign w:val="bottom"/>
            <w:shd w:val="clear" w:color="auto" w:fill="CCEEFF"/>
          </w:tcPr>
          <w:p>
            <w:pPr>
              <w:jc w:val="center"/>
              <w:ind w:left="53"/>
              <w:spacing w:after="0"/>
              <w:rPr>
                <w:sz w:val="20"/>
                <w:szCs w:val="20"/>
                <w:color w:val="auto"/>
              </w:rPr>
            </w:pPr>
            <w:r>
              <w:rPr>
                <w:rFonts w:ascii="Times New Roman" w:cs="Times New Roman" w:eastAsia="Times New Roman" w:hAnsi="Times New Roman"/>
                <w:sz w:val="13"/>
                <w:szCs w:val="13"/>
                <w:i w:val="1"/>
                <w:iCs w:val="1"/>
                <w:color w:val="auto"/>
              </w:rPr>
              <w:t>16.56%</w:t>
            </w:r>
          </w:p>
        </w:tc>
        <w:tc>
          <w:tcPr>
            <w:tcW w:w="7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i w:val="1"/>
                <w:iCs w:val="1"/>
                <w:color w:val="auto"/>
              </w:rPr>
              <w:t>9.48%</w:t>
            </w:r>
          </w:p>
        </w:tc>
        <w:tc>
          <w:tcPr>
            <w:tcW w:w="860" w:type="dxa"/>
            <w:vAlign w:val="bottom"/>
            <w:shd w:val="clear" w:color="auto" w:fill="CCEEFF"/>
          </w:tcPr>
          <w:p>
            <w:pPr>
              <w:jc w:val="center"/>
              <w:ind w:right="13"/>
              <w:spacing w:after="0"/>
              <w:rPr>
                <w:sz w:val="20"/>
                <w:szCs w:val="20"/>
                <w:color w:val="auto"/>
              </w:rPr>
            </w:pPr>
            <w:r>
              <w:rPr>
                <w:rFonts w:ascii="Times New Roman" w:cs="Times New Roman" w:eastAsia="Times New Roman" w:hAnsi="Times New Roman"/>
                <w:sz w:val="13"/>
                <w:szCs w:val="13"/>
                <w:i w:val="1"/>
                <w:iCs w:val="1"/>
                <w:color w:val="auto"/>
              </w:rPr>
              <w:t>11.33%</w:t>
            </w:r>
          </w:p>
        </w:tc>
        <w:tc>
          <w:tcPr>
            <w:tcW w:w="920" w:type="dxa"/>
            <w:vAlign w:val="bottom"/>
            <w:shd w:val="clear" w:color="auto" w:fill="CCEEFF"/>
          </w:tcPr>
          <w:p>
            <w:pPr>
              <w:jc w:val="center"/>
              <w:ind w:right="93"/>
              <w:spacing w:after="0"/>
              <w:rPr>
                <w:sz w:val="20"/>
                <w:szCs w:val="20"/>
                <w:color w:val="auto"/>
              </w:rPr>
            </w:pPr>
            <w:r>
              <w:rPr>
                <w:rFonts w:ascii="Times New Roman" w:cs="Times New Roman" w:eastAsia="Times New Roman" w:hAnsi="Times New Roman"/>
                <w:sz w:val="13"/>
                <w:szCs w:val="13"/>
                <w:i w:val="1"/>
                <w:iCs w:val="1"/>
                <w:color w:val="auto"/>
              </w:rPr>
              <w:t>6.92%</w:t>
            </w:r>
          </w:p>
        </w:tc>
        <w:tc>
          <w:tcPr>
            <w:tcW w:w="10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2"/>
        </w:trPr>
        <w:tc>
          <w:tcPr>
            <w:tcW w:w="36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Select Equity Strategy</w:t>
            </w: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3/1/2020</w:t>
            </w:r>
          </w:p>
        </w:tc>
        <w:tc>
          <w:tcPr>
            <w:tcW w:w="500" w:type="dxa"/>
            <w:vAlign w:val="bottom"/>
          </w:tcPr>
          <w:p>
            <w:pPr>
              <w:jc w:val="right"/>
              <w:ind w:right="294"/>
              <w:spacing w:after="0"/>
              <w:rPr>
                <w:sz w:val="20"/>
                <w:szCs w:val="20"/>
                <w:color w:val="auto"/>
              </w:rPr>
            </w:pPr>
            <w:r>
              <w:rPr>
                <w:rFonts w:ascii="Times New Roman" w:cs="Times New Roman" w:eastAsia="Times New Roman" w:hAnsi="Times New Roman"/>
                <w:sz w:val="13"/>
                <w:szCs w:val="13"/>
                <w:color w:val="auto"/>
              </w:rPr>
              <w:t>$</w:t>
            </w:r>
          </w:p>
        </w:tc>
        <w:tc>
          <w:tcPr>
            <w:tcW w:w="580" w:type="dxa"/>
            <w:vAlign w:val="bottom"/>
          </w:tcPr>
          <w:p>
            <w:pPr>
              <w:jc w:val="right"/>
              <w:ind w:right="93"/>
              <w:spacing w:after="0"/>
              <w:rPr>
                <w:sz w:val="20"/>
                <w:szCs w:val="20"/>
                <w:color w:val="auto"/>
              </w:rPr>
            </w:pPr>
            <w:r>
              <w:rPr>
                <w:rFonts w:ascii="Times New Roman" w:cs="Times New Roman" w:eastAsia="Times New Roman" w:hAnsi="Times New Roman"/>
                <w:sz w:val="13"/>
                <w:szCs w:val="13"/>
                <w:color w:val="auto"/>
              </w:rPr>
              <w:t>943</w:t>
            </w:r>
          </w:p>
        </w:tc>
        <w:tc>
          <w:tcPr>
            <w:tcW w:w="660" w:type="dxa"/>
            <w:vAlign w:val="bottom"/>
          </w:tcPr>
          <w:p>
            <w:pPr>
              <w:jc w:val="center"/>
              <w:ind w:left="53"/>
              <w:spacing w:after="0"/>
              <w:rPr>
                <w:sz w:val="20"/>
                <w:szCs w:val="20"/>
                <w:color w:val="auto"/>
              </w:rPr>
            </w:pPr>
            <w:r>
              <w:rPr>
                <w:rFonts w:ascii="Times New Roman" w:cs="Times New Roman" w:eastAsia="Times New Roman" w:hAnsi="Times New Roman"/>
                <w:sz w:val="13"/>
                <w:szCs w:val="13"/>
                <w:color w:val="auto"/>
              </w:rPr>
              <w:t>19.94%</w:t>
            </w:r>
          </w:p>
        </w:tc>
        <w:tc>
          <w:tcPr>
            <w:tcW w:w="900" w:type="dxa"/>
            <w:vAlign w:val="bottom"/>
          </w:tcPr>
          <w:p>
            <w:pPr>
              <w:jc w:val="center"/>
              <w:ind w:left="53"/>
              <w:spacing w:after="0"/>
              <w:rPr>
                <w:sz w:val="20"/>
                <w:szCs w:val="20"/>
                <w:color w:val="auto"/>
              </w:rPr>
            </w:pPr>
            <w:r>
              <w:rPr>
                <w:rFonts w:ascii="Times New Roman" w:cs="Times New Roman" w:eastAsia="Times New Roman" w:hAnsi="Times New Roman"/>
                <w:sz w:val="13"/>
                <w:szCs w:val="13"/>
                <w:color w:val="auto"/>
              </w:rPr>
              <w:t>19.48%</w:t>
            </w:r>
          </w:p>
        </w:tc>
        <w:tc>
          <w:tcPr>
            <w:tcW w:w="78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11.25%</w:t>
            </w:r>
          </w:p>
        </w:tc>
        <w:tc>
          <w:tcPr>
            <w:tcW w:w="860" w:type="dxa"/>
            <w:vAlign w:val="bottom"/>
          </w:tcPr>
          <w:p>
            <w:pPr>
              <w:jc w:val="center"/>
              <w:ind w:right="13"/>
              <w:spacing w:after="0"/>
              <w:rPr>
                <w:sz w:val="20"/>
                <w:szCs w:val="20"/>
                <w:color w:val="auto"/>
              </w:rPr>
            </w:pPr>
            <w:r>
              <w:rPr>
                <w:rFonts w:ascii="Times New Roman" w:cs="Times New Roman" w:eastAsia="Times New Roman" w:hAnsi="Times New Roman"/>
                <w:sz w:val="13"/>
                <w:szCs w:val="13"/>
                <w:color w:val="auto"/>
              </w:rPr>
              <w:t>---</w:t>
            </w:r>
          </w:p>
        </w:tc>
        <w:tc>
          <w:tcPr>
            <w:tcW w:w="920" w:type="dxa"/>
            <w:vAlign w:val="bottom"/>
          </w:tcPr>
          <w:p>
            <w:pPr>
              <w:jc w:val="center"/>
              <w:ind w:right="73"/>
              <w:spacing w:after="0"/>
              <w:rPr>
                <w:sz w:val="20"/>
                <w:szCs w:val="20"/>
                <w:color w:val="auto"/>
              </w:rPr>
            </w:pPr>
            <w:r>
              <w:rPr>
                <w:rFonts w:ascii="Times New Roman" w:cs="Times New Roman" w:eastAsia="Times New Roman" w:hAnsi="Times New Roman"/>
                <w:sz w:val="13"/>
                <w:szCs w:val="13"/>
                <w:color w:val="auto"/>
              </w:rPr>
              <w:t>14.61%</w:t>
            </w:r>
          </w:p>
        </w:tc>
        <w:tc>
          <w:tcPr>
            <w:tcW w:w="1060" w:type="dxa"/>
            <w:vAlign w:val="bottom"/>
          </w:tcPr>
          <w:p>
            <w:pPr>
              <w:jc w:val="center"/>
              <w:ind w:left="333"/>
              <w:spacing w:after="0"/>
              <w:rPr>
                <w:sz w:val="20"/>
                <w:szCs w:val="20"/>
                <w:color w:val="auto"/>
              </w:rPr>
            </w:pPr>
            <w:r>
              <w:rPr>
                <w:rFonts w:ascii="Times New Roman" w:cs="Times New Roman" w:eastAsia="Times New Roman" w:hAnsi="Times New Roman"/>
                <w:sz w:val="13"/>
                <w:szCs w:val="13"/>
                <w:color w:val="auto"/>
              </w:rPr>
              <w:t>(103)</w:t>
            </w:r>
          </w:p>
        </w:tc>
        <w:tc>
          <w:tcPr>
            <w:tcW w:w="3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36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i w:val="1"/>
                <w:iCs w:val="1"/>
                <w:color w:val="auto"/>
              </w:rPr>
              <w:t>S&amp;P 500 Index</w:t>
            </w:r>
          </w:p>
        </w:tc>
        <w:tc>
          <w:tcPr>
            <w:tcW w:w="10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660" w:type="dxa"/>
            <w:vAlign w:val="bottom"/>
            <w:shd w:val="clear" w:color="auto" w:fill="CCEEFF"/>
          </w:tcPr>
          <w:p>
            <w:pPr>
              <w:jc w:val="center"/>
              <w:ind w:left="53"/>
              <w:spacing w:after="0"/>
              <w:rPr>
                <w:sz w:val="20"/>
                <w:szCs w:val="20"/>
                <w:color w:val="auto"/>
              </w:rPr>
            </w:pPr>
            <w:r>
              <w:rPr>
                <w:rFonts w:ascii="Times New Roman" w:cs="Times New Roman" w:eastAsia="Times New Roman" w:hAnsi="Times New Roman"/>
                <w:sz w:val="13"/>
                <w:szCs w:val="13"/>
                <w:i w:val="1"/>
                <w:iCs w:val="1"/>
                <w:color w:val="auto"/>
              </w:rPr>
              <w:t>17.80%</w:t>
            </w:r>
          </w:p>
        </w:tc>
        <w:tc>
          <w:tcPr>
            <w:tcW w:w="900" w:type="dxa"/>
            <w:vAlign w:val="bottom"/>
            <w:shd w:val="clear" w:color="auto" w:fill="CCEEFF"/>
          </w:tcPr>
          <w:p>
            <w:pPr>
              <w:jc w:val="center"/>
              <w:ind w:left="53"/>
              <w:spacing w:after="0"/>
              <w:rPr>
                <w:sz w:val="20"/>
                <w:szCs w:val="20"/>
                <w:color w:val="auto"/>
              </w:rPr>
            </w:pPr>
            <w:r>
              <w:rPr>
                <w:rFonts w:ascii="Times New Roman" w:cs="Times New Roman" w:eastAsia="Times New Roman" w:hAnsi="Times New Roman"/>
                <w:sz w:val="13"/>
                <w:szCs w:val="13"/>
                <w:i w:val="1"/>
                <w:iCs w:val="1"/>
                <w:color w:val="auto"/>
              </w:rPr>
              <w:t>18.30%</w:t>
            </w:r>
          </w:p>
        </w:tc>
        <w:tc>
          <w:tcPr>
            <w:tcW w:w="7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i w:val="1"/>
                <w:iCs w:val="1"/>
                <w:color w:val="auto"/>
              </w:rPr>
              <w:t>12.06%</w:t>
            </w:r>
          </w:p>
        </w:tc>
        <w:tc>
          <w:tcPr>
            <w:tcW w:w="860" w:type="dxa"/>
            <w:vAlign w:val="bottom"/>
            <w:shd w:val="clear" w:color="auto" w:fill="CCEEFF"/>
          </w:tcPr>
          <w:p>
            <w:pPr>
              <w:jc w:val="center"/>
              <w:ind w:right="13"/>
              <w:spacing w:after="0"/>
              <w:rPr>
                <w:sz w:val="20"/>
                <w:szCs w:val="20"/>
                <w:color w:val="auto"/>
              </w:rPr>
            </w:pPr>
            <w:r>
              <w:rPr>
                <w:rFonts w:ascii="Times New Roman" w:cs="Times New Roman" w:eastAsia="Times New Roman" w:hAnsi="Times New Roman"/>
                <w:sz w:val="13"/>
                <w:szCs w:val="13"/>
                <w:i w:val="1"/>
                <w:iCs w:val="1"/>
                <w:color w:val="auto"/>
              </w:rPr>
              <w:t>---</w:t>
            </w:r>
          </w:p>
        </w:tc>
        <w:tc>
          <w:tcPr>
            <w:tcW w:w="920" w:type="dxa"/>
            <w:vAlign w:val="bottom"/>
            <w:shd w:val="clear" w:color="auto" w:fill="CCEEFF"/>
          </w:tcPr>
          <w:p>
            <w:pPr>
              <w:jc w:val="center"/>
              <w:ind w:right="73"/>
              <w:spacing w:after="0"/>
              <w:rPr>
                <w:sz w:val="20"/>
                <w:szCs w:val="20"/>
                <w:color w:val="auto"/>
              </w:rPr>
            </w:pPr>
            <w:r>
              <w:rPr>
                <w:rFonts w:ascii="Times New Roman" w:cs="Times New Roman" w:eastAsia="Times New Roman" w:hAnsi="Times New Roman"/>
                <w:sz w:val="13"/>
                <w:szCs w:val="13"/>
                <w:i w:val="1"/>
                <w:iCs w:val="1"/>
                <w:color w:val="auto"/>
              </w:rPr>
              <w:t>15.64%</w:t>
            </w:r>
          </w:p>
        </w:tc>
        <w:tc>
          <w:tcPr>
            <w:tcW w:w="10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362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Sustainable Emerging Markets (</w:t>
            </w: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13"/>
                <w:szCs w:val="13"/>
                <w:b w:val="1"/>
                <w:bCs w:val="1"/>
                <w:color w:val="auto"/>
              </w:rPr>
              <w:t>SEM</w:t>
            </w: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13"/>
                <w:szCs w:val="13"/>
                <w:b w:val="1"/>
                <w:bCs w:val="1"/>
                <w:color w:val="auto"/>
              </w:rPr>
              <w:t>) Team</w:t>
            </w:r>
          </w:p>
        </w:tc>
        <w:tc>
          <w:tcPr>
            <w:tcW w:w="10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4"/>
        </w:trPr>
        <w:tc>
          <w:tcPr>
            <w:tcW w:w="3620" w:type="dxa"/>
            <w:vAlign w:val="bottom"/>
          </w:tcPr>
          <w:p>
            <w:pPr>
              <w:spacing w:after="0"/>
              <w:rPr>
                <w:sz w:val="3"/>
                <w:szCs w:val="3"/>
                <w:color w:val="auto"/>
              </w:rPr>
            </w:pPr>
          </w:p>
        </w:tc>
        <w:tc>
          <w:tcPr>
            <w:tcW w:w="1000" w:type="dxa"/>
            <w:vAlign w:val="bottom"/>
          </w:tcPr>
          <w:p>
            <w:pPr>
              <w:spacing w:after="0"/>
              <w:rPr>
                <w:sz w:val="3"/>
                <w:szCs w:val="3"/>
                <w:color w:val="auto"/>
              </w:rPr>
            </w:pPr>
          </w:p>
        </w:tc>
        <w:tc>
          <w:tcPr>
            <w:tcW w:w="500" w:type="dxa"/>
            <w:vAlign w:val="bottom"/>
          </w:tcPr>
          <w:p>
            <w:pPr>
              <w:spacing w:after="0"/>
              <w:rPr>
                <w:sz w:val="3"/>
                <w:szCs w:val="3"/>
                <w:color w:val="auto"/>
              </w:rPr>
            </w:pPr>
          </w:p>
        </w:tc>
        <w:tc>
          <w:tcPr>
            <w:tcW w:w="580" w:type="dxa"/>
            <w:vAlign w:val="bottom"/>
          </w:tcPr>
          <w:p>
            <w:pPr>
              <w:spacing w:after="0"/>
              <w:rPr>
                <w:sz w:val="3"/>
                <w:szCs w:val="3"/>
                <w:color w:val="auto"/>
              </w:rPr>
            </w:pPr>
          </w:p>
        </w:tc>
        <w:tc>
          <w:tcPr>
            <w:tcW w:w="660" w:type="dxa"/>
            <w:vAlign w:val="bottom"/>
          </w:tcPr>
          <w:p>
            <w:pPr>
              <w:spacing w:after="0"/>
              <w:rPr>
                <w:sz w:val="3"/>
                <w:szCs w:val="3"/>
                <w:color w:val="auto"/>
              </w:rPr>
            </w:pPr>
          </w:p>
        </w:tc>
        <w:tc>
          <w:tcPr>
            <w:tcW w:w="900" w:type="dxa"/>
            <w:vAlign w:val="bottom"/>
          </w:tcPr>
          <w:p>
            <w:pPr>
              <w:spacing w:after="0"/>
              <w:rPr>
                <w:sz w:val="3"/>
                <w:szCs w:val="3"/>
                <w:color w:val="auto"/>
              </w:rPr>
            </w:pPr>
          </w:p>
        </w:tc>
        <w:tc>
          <w:tcPr>
            <w:tcW w:w="780" w:type="dxa"/>
            <w:vAlign w:val="bottom"/>
          </w:tcPr>
          <w:p>
            <w:pPr>
              <w:spacing w:after="0"/>
              <w:rPr>
                <w:sz w:val="3"/>
                <w:szCs w:val="3"/>
                <w:color w:val="auto"/>
              </w:rPr>
            </w:pPr>
          </w:p>
        </w:tc>
        <w:tc>
          <w:tcPr>
            <w:tcW w:w="860" w:type="dxa"/>
            <w:vAlign w:val="bottom"/>
          </w:tcPr>
          <w:p>
            <w:pPr>
              <w:spacing w:after="0"/>
              <w:rPr>
                <w:sz w:val="3"/>
                <w:szCs w:val="3"/>
                <w:color w:val="auto"/>
              </w:rPr>
            </w:pPr>
          </w:p>
        </w:tc>
        <w:tc>
          <w:tcPr>
            <w:tcW w:w="920" w:type="dxa"/>
            <w:vAlign w:val="bottom"/>
          </w:tcPr>
          <w:p>
            <w:pPr>
              <w:spacing w:after="0"/>
              <w:rPr>
                <w:sz w:val="3"/>
                <w:szCs w:val="3"/>
                <w:color w:val="auto"/>
              </w:rPr>
            </w:pPr>
          </w:p>
        </w:tc>
        <w:tc>
          <w:tcPr>
            <w:tcW w:w="1060" w:type="dxa"/>
            <w:vAlign w:val="bottom"/>
          </w:tcPr>
          <w:p>
            <w:pPr>
              <w:spacing w:after="0"/>
              <w:rPr>
                <w:sz w:val="3"/>
                <w:szCs w:val="3"/>
                <w:color w:val="auto"/>
              </w:rPr>
            </w:pPr>
          </w:p>
        </w:tc>
        <w:tc>
          <w:tcPr>
            <w:tcW w:w="3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89"/>
        </w:trPr>
        <w:tc>
          <w:tcPr>
            <w:tcW w:w="3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Sustainable Emerging Markets Strategy</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7/1/2006</w:t>
            </w:r>
          </w:p>
        </w:tc>
        <w:tc>
          <w:tcPr>
            <w:tcW w:w="500" w:type="dxa"/>
            <w:vAlign w:val="bottom"/>
            <w:shd w:val="clear" w:color="auto" w:fill="CCEEFF"/>
          </w:tcPr>
          <w:p>
            <w:pPr>
              <w:jc w:val="right"/>
              <w:ind w:right="294"/>
              <w:spacing w:after="0"/>
              <w:rPr>
                <w:sz w:val="20"/>
                <w:szCs w:val="20"/>
                <w:color w:val="auto"/>
              </w:rPr>
            </w:pPr>
            <w:r>
              <w:rPr>
                <w:rFonts w:ascii="Times New Roman" w:cs="Times New Roman" w:eastAsia="Times New Roman" w:hAnsi="Times New Roman"/>
                <w:sz w:val="13"/>
                <w:szCs w:val="13"/>
                <w:color w:val="auto"/>
              </w:rPr>
              <w:t>$</w:t>
            </w:r>
          </w:p>
        </w:tc>
        <w:tc>
          <w:tcPr>
            <w:tcW w:w="580" w:type="dxa"/>
            <w:vAlign w:val="bottom"/>
            <w:shd w:val="clear" w:color="auto" w:fill="CCEEFF"/>
          </w:tcPr>
          <w:p>
            <w:pPr>
              <w:jc w:val="right"/>
              <w:ind w:right="93"/>
              <w:spacing w:after="0"/>
              <w:rPr>
                <w:sz w:val="20"/>
                <w:szCs w:val="20"/>
                <w:color w:val="auto"/>
              </w:rPr>
            </w:pPr>
            <w:r>
              <w:rPr>
                <w:rFonts w:ascii="Times New Roman" w:cs="Times New Roman" w:eastAsia="Times New Roman" w:hAnsi="Times New Roman"/>
                <w:sz w:val="13"/>
                <w:szCs w:val="13"/>
                <w:color w:val="auto"/>
              </w:rPr>
              <w:t>2,781</w:t>
            </w:r>
          </w:p>
        </w:tc>
        <w:tc>
          <w:tcPr>
            <w:tcW w:w="660" w:type="dxa"/>
            <w:vAlign w:val="bottom"/>
            <w:shd w:val="clear" w:color="auto" w:fill="CCEEFF"/>
          </w:tcPr>
          <w:p>
            <w:pPr>
              <w:jc w:val="center"/>
              <w:ind w:left="53"/>
              <w:spacing w:after="0"/>
              <w:rPr>
                <w:sz w:val="20"/>
                <w:szCs w:val="20"/>
                <w:color w:val="auto"/>
              </w:rPr>
            </w:pPr>
            <w:r>
              <w:rPr>
                <w:rFonts w:ascii="Times New Roman" w:cs="Times New Roman" w:eastAsia="Times New Roman" w:hAnsi="Times New Roman"/>
                <w:sz w:val="13"/>
                <w:szCs w:val="13"/>
                <w:color w:val="auto"/>
              </w:rPr>
              <w:t>37.88%</w:t>
            </w:r>
          </w:p>
        </w:tc>
        <w:tc>
          <w:tcPr>
            <w:tcW w:w="900" w:type="dxa"/>
            <w:vAlign w:val="bottom"/>
            <w:shd w:val="clear" w:color="auto" w:fill="CCEEFF"/>
          </w:tcPr>
          <w:p>
            <w:pPr>
              <w:jc w:val="center"/>
              <w:ind w:left="53"/>
              <w:spacing w:after="0"/>
              <w:rPr>
                <w:sz w:val="20"/>
                <w:szCs w:val="20"/>
                <w:color w:val="auto"/>
              </w:rPr>
            </w:pPr>
            <w:r>
              <w:rPr>
                <w:rFonts w:ascii="Times New Roman" w:cs="Times New Roman" w:eastAsia="Times New Roman" w:hAnsi="Times New Roman"/>
                <w:sz w:val="13"/>
                <w:szCs w:val="13"/>
                <w:color w:val="auto"/>
              </w:rPr>
              <w:t>18.60%</w:t>
            </w:r>
          </w:p>
        </w:tc>
        <w:tc>
          <w:tcPr>
            <w:tcW w:w="7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5.68%</w:t>
            </w:r>
          </w:p>
        </w:tc>
        <w:tc>
          <w:tcPr>
            <w:tcW w:w="860" w:type="dxa"/>
            <w:vAlign w:val="bottom"/>
            <w:shd w:val="clear" w:color="auto" w:fill="CCEEFF"/>
          </w:tcPr>
          <w:p>
            <w:pPr>
              <w:jc w:val="center"/>
              <w:ind w:right="13"/>
              <w:spacing w:after="0"/>
              <w:rPr>
                <w:sz w:val="20"/>
                <w:szCs w:val="20"/>
                <w:color w:val="auto"/>
              </w:rPr>
            </w:pPr>
            <w:r>
              <w:rPr>
                <w:rFonts w:ascii="Times New Roman" w:cs="Times New Roman" w:eastAsia="Times New Roman" w:hAnsi="Times New Roman"/>
                <w:sz w:val="13"/>
                <w:szCs w:val="13"/>
                <w:color w:val="auto"/>
              </w:rPr>
              <w:t>10.26%</w:t>
            </w:r>
          </w:p>
        </w:tc>
        <w:tc>
          <w:tcPr>
            <w:tcW w:w="920" w:type="dxa"/>
            <w:vAlign w:val="bottom"/>
            <w:shd w:val="clear" w:color="auto" w:fill="CCEEFF"/>
          </w:tcPr>
          <w:p>
            <w:pPr>
              <w:jc w:val="center"/>
              <w:ind w:right="93"/>
              <w:spacing w:after="0"/>
              <w:rPr>
                <w:sz w:val="20"/>
                <w:szCs w:val="20"/>
                <w:color w:val="auto"/>
              </w:rPr>
            </w:pPr>
            <w:r>
              <w:rPr>
                <w:rFonts w:ascii="Times New Roman" w:cs="Times New Roman" w:eastAsia="Times New Roman" w:hAnsi="Times New Roman"/>
                <w:sz w:val="13"/>
                <w:szCs w:val="13"/>
                <w:color w:val="auto"/>
              </w:rPr>
              <w:t>6.83%</w:t>
            </w:r>
          </w:p>
        </w:tc>
        <w:tc>
          <w:tcPr>
            <w:tcW w:w="1060" w:type="dxa"/>
            <w:vAlign w:val="bottom"/>
            <w:shd w:val="clear" w:color="auto" w:fill="CCEEFF"/>
          </w:tcPr>
          <w:p>
            <w:pPr>
              <w:jc w:val="center"/>
              <w:ind w:left="353"/>
              <w:spacing w:after="0"/>
              <w:rPr>
                <w:sz w:val="20"/>
                <w:szCs w:val="20"/>
                <w:color w:val="auto"/>
              </w:rPr>
            </w:pPr>
            <w:r>
              <w:rPr>
                <w:rFonts w:ascii="Times New Roman" w:cs="Times New Roman" w:eastAsia="Times New Roman" w:hAnsi="Times New Roman"/>
                <w:sz w:val="13"/>
                <w:szCs w:val="13"/>
                <w:color w:val="auto"/>
              </w:rPr>
              <w:t>115</w:t>
            </w:r>
          </w:p>
        </w:tc>
        <w:tc>
          <w:tcPr>
            <w:tcW w:w="3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3620" w:type="dxa"/>
            <w:vAlign w:val="bottom"/>
          </w:tcPr>
          <w:p>
            <w:pPr>
              <w:ind w:left="140"/>
              <w:spacing w:after="0"/>
              <w:rPr>
                <w:sz w:val="20"/>
                <w:szCs w:val="20"/>
                <w:color w:val="auto"/>
              </w:rPr>
            </w:pPr>
            <w:r>
              <w:rPr>
                <w:rFonts w:ascii="Times New Roman" w:cs="Times New Roman" w:eastAsia="Times New Roman" w:hAnsi="Times New Roman"/>
                <w:sz w:val="13"/>
                <w:szCs w:val="13"/>
                <w:i w:val="1"/>
                <w:iCs w:val="1"/>
                <w:color w:val="auto"/>
              </w:rPr>
              <w:t>MSCI Emerging Markets Index</w:t>
            </w:r>
          </w:p>
        </w:tc>
        <w:tc>
          <w:tcPr>
            <w:tcW w:w="10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60" w:type="dxa"/>
            <w:vAlign w:val="bottom"/>
          </w:tcPr>
          <w:p>
            <w:pPr>
              <w:jc w:val="center"/>
              <w:ind w:left="53"/>
              <w:spacing w:after="0"/>
              <w:rPr>
                <w:sz w:val="20"/>
                <w:szCs w:val="20"/>
                <w:color w:val="auto"/>
              </w:rPr>
            </w:pPr>
            <w:r>
              <w:rPr>
                <w:rFonts w:ascii="Times New Roman" w:cs="Times New Roman" w:eastAsia="Times New Roman" w:hAnsi="Times New Roman"/>
                <w:sz w:val="13"/>
                <w:szCs w:val="13"/>
                <w:i w:val="1"/>
                <w:iCs w:val="1"/>
                <w:color w:val="auto"/>
              </w:rPr>
              <w:t>29.55%</w:t>
            </w:r>
          </w:p>
        </w:tc>
        <w:tc>
          <w:tcPr>
            <w:tcW w:w="900" w:type="dxa"/>
            <w:vAlign w:val="bottom"/>
          </w:tcPr>
          <w:p>
            <w:pPr>
              <w:jc w:val="center"/>
              <w:ind w:left="53"/>
              <w:spacing w:after="0"/>
              <w:rPr>
                <w:sz w:val="20"/>
                <w:szCs w:val="20"/>
                <w:color w:val="auto"/>
              </w:rPr>
            </w:pPr>
            <w:r>
              <w:rPr>
                <w:rFonts w:ascii="Times New Roman" w:cs="Times New Roman" w:eastAsia="Times New Roman" w:hAnsi="Times New Roman"/>
                <w:sz w:val="13"/>
                <w:szCs w:val="13"/>
                <w:i w:val="1"/>
                <w:iCs w:val="1"/>
                <w:color w:val="auto"/>
              </w:rPr>
              <w:t>14.82%</w:t>
            </w:r>
          </w:p>
        </w:tc>
        <w:tc>
          <w:tcPr>
            <w:tcW w:w="780" w:type="dxa"/>
            <w:vAlign w:val="bottom"/>
          </w:tcPr>
          <w:p>
            <w:pPr>
              <w:jc w:val="center"/>
              <w:spacing w:after="0"/>
              <w:rPr>
                <w:sz w:val="20"/>
                <w:szCs w:val="20"/>
                <w:color w:val="auto"/>
              </w:rPr>
            </w:pPr>
            <w:r>
              <w:rPr>
                <w:rFonts w:ascii="Times New Roman" w:cs="Times New Roman" w:eastAsia="Times New Roman" w:hAnsi="Times New Roman"/>
                <w:sz w:val="13"/>
                <w:szCs w:val="13"/>
                <w:i w:val="1"/>
                <w:iCs w:val="1"/>
                <w:color w:val="auto"/>
              </w:rPr>
              <w:t>3.69%</w:t>
            </w:r>
          </w:p>
        </w:tc>
        <w:tc>
          <w:tcPr>
            <w:tcW w:w="860" w:type="dxa"/>
            <w:vAlign w:val="bottom"/>
          </w:tcPr>
          <w:p>
            <w:pPr>
              <w:jc w:val="center"/>
              <w:ind w:right="13"/>
              <w:spacing w:after="0"/>
              <w:rPr>
                <w:sz w:val="20"/>
                <w:szCs w:val="20"/>
                <w:color w:val="auto"/>
              </w:rPr>
            </w:pPr>
            <w:r>
              <w:rPr>
                <w:rFonts w:ascii="Times New Roman" w:cs="Times New Roman" w:eastAsia="Times New Roman" w:hAnsi="Times New Roman"/>
                <w:sz w:val="13"/>
                <w:szCs w:val="13"/>
                <w:i w:val="1"/>
                <w:iCs w:val="1"/>
                <w:color w:val="auto"/>
              </w:rPr>
              <w:t>7.79%</w:t>
            </w:r>
          </w:p>
        </w:tc>
        <w:tc>
          <w:tcPr>
            <w:tcW w:w="920" w:type="dxa"/>
            <w:vAlign w:val="bottom"/>
          </w:tcPr>
          <w:p>
            <w:pPr>
              <w:jc w:val="center"/>
              <w:ind w:right="93"/>
              <w:spacing w:after="0"/>
              <w:rPr>
                <w:sz w:val="20"/>
                <w:szCs w:val="20"/>
                <w:color w:val="auto"/>
              </w:rPr>
            </w:pPr>
            <w:r>
              <w:rPr>
                <w:rFonts w:ascii="Times New Roman" w:cs="Times New Roman" w:eastAsia="Times New Roman" w:hAnsi="Times New Roman"/>
                <w:sz w:val="13"/>
                <w:szCs w:val="13"/>
                <w:i w:val="1"/>
                <w:iCs w:val="1"/>
                <w:color w:val="auto"/>
              </w:rPr>
              <w:t>5.68%</w:t>
            </w:r>
          </w:p>
        </w:tc>
        <w:tc>
          <w:tcPr>
            <w:tcW w:w="10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3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Credit Team</w:t>
            </w:r>
          </w:p>
        </w:tc>
        <w:tc>
          <w:tcPr>
            <w:tcW w:w="100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2"/>
        </w:trPr>
        <w:tc>
          <w:tcPr>
            <w:tcW w:w="36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High Income Strategy</w:t>
            </w: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4/1/2014</w:t>
            </w:r>
          </w:p>
        </w:tc>
        <w:tc>
          <w:tcPr>
            <w:tcW w:w="500" w:type="dxa"/>
            <w:vAlign w:val="bottom"/>
          </w:tcPr>
          <w:p>
            <w:pPr>
              <w:jc w:val="right"/>
              <w:ind w:right="294"/>
              <w:spacing w:after="0"/>
              <w:rPr>
                <w:sz w:val="20"/>
                <w:szCs w:val="20"/>
                <w:color w:val="auto"/>
              </w:rPr>
            </w:pPr>
            <w:r>
              <w:rPr>
                <w:rFonts w:ascii="Times New Roman" w:cs="Times New Roman" w:eastAsia="Times New Roman" w:hAnsi="Times New Roman"/>
                <w:sz w:val="13"/>
                <w:szCs w:val="13"/>
                <w:color w:val="auto"/>
              </w:rPr>
              <w:t>$</w:t>
            </w:r>
          </w:p>
        </w:tc>
        <w:tc>
          <w:tcPr>
            <w:tcW w:w="580" w:type="dxa"/>
            <w:vAlign w:val="bottom"/>
          </w:tcPr>
          <w:p>
            <w:pPr>
              <w:jc w:val="right"/>
              <w:ind w:right="93"/>
              <w:spacing w:after="0"/>
              <w:rPr>
                <w:sz w:val="20"/>
                <w:szCs w:val="20"/>
                <w:color w:val="auto"/>
              </w:rPr>
            </w:pPr>
            <w:r>
              <w:rPr>
                <w:rFonts w:ascii="Times New Roman" w:cs="Times New Roman" w:eastAsia="Times New Roman" w:hAnsi="Times New Roman"/>
                <w:sz w:val="13"/>
                <w:szCs w:val="13"/>
                <w:color w:val="auto"/>
              </w:rPr>
              <w:t>13,543</w:t>
            </w:r>
          </w:p>
        </w:tc>
        <w:tc>
          <w:tcPr>
            <w:tcW w:w="660" w:type="dxa"/>
            <w:vAlign w:val="bottom"/>
          </w:tcPr>
          <w:p>
            <w:pPr>
              <w:jc w:val="center"/>
              <w:ind w:left="33"/>
              <w:spacing w:after="0"/>
              <w:rPr>
                <w:sz w:val="20"/>
                <w:szCs w:val="20"/>
                <w:color w:val="auto"/>
              </w:rPr>
            </w:pPr>
            <w:r>
              <w:rPr>
                <w:rFonts w:ascii="Times New Roman" w:cs="Times New Roman" w:eastAsia="Times New Roman" w:hAnsi="Times New Roman"/>
                <w:sz w:val="13"/>
                <w:szCs w:val="13"/>
                <w:color w:val="auto"/>
              </w:rPr>
              <w:t>6.86%</w:t>
            </w:r>
          </w:p>
        </w:tc>
        <w:tc>
          <w:tcPr>
            <w:tcW w:w="900" w:type="dxa"/>
            <w:vAlign w:val="bottom"/>
          </w:tcPr>
          <w:p>
            <w:pPr>
              <w:jc w:val="center"/>
              <w:ind w:left="53"/>
              <w:spacing w:after="0"/>
              <w:rPr>
                <w:sz w:val="20"/>
                <w:szCs w:val="20"/>
                <w:color w:val="auto"/>
              </w:rPr>
            </w:pPr>
            <w:r>
              <w:rPr>
                <w:rFonts w:ascii="Times New Roman" w:cs="Times New Roman" w:eastAsia="Times New Roman" w:hAnsi="Times New Roman"/>
                <w:sz w:val="13"/>
                <w:szCs w:val="13"/>
                <w:color w:val="auto"/>
              </w:rPr>
              <w:t>9.61%</w:t>
            </w:r>
          </w:p>
        </w:tc>
        <w:tc>
          <w:tcPr>
            <w:tcW w:w="78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5.65%</w:t>
            </w:r>
          </w:p>
        </w:tc>
        <w:tc>
          <w:tcPr>
            <w:tcW w:w="860" w:type="dxa"/>
            <w:vAlign w:val="bottom"/>
          </w:tcPr>
          <w:p>
            <w:pPr>
              <w:jc w:val="center"/>
              <w:ind w:right="13"/>
              <w:spacing w:after="0"/>
              <w:rPr>
                <w:sz w:val="20"/>
                <w:szCs w:val="20"/>
                <w:color w:val="auto"/>
              </w:rPr>
            </w:pPr>
            <w:r>
              <w:rPr>
                <w:rFonts w:ascii="Times New Roman" w:cs="Times New Roman" w:eastAsia="Times New Roman" w:hAnsi="Times New Roman"/>
                <w:sz w:val="13"/>
                <w:szCs w:val="13"/>
                <w:color w:val="auto"/>
              </w:rPr>
              <w:t>7.92%</w:t>
            </w:r>
          </w:p>
        </w:tc>
        <w:tc>
          <w:tcPr>
            <w:tcW w:w="920" w:type="dxa"/>
            <w:vAlign w:val="bottom"/>
          </w:tcPr>
          <w:p>
            <w:pPr>
              <w:jc w:val="center"/>
              <w:ind w:right="93"/>
              <w:spacing w:after="0"/>
              <w:rPr>
                <w:sz w:val="20"/>
                <w:szCs w:val="20"/>
                <w:color w:val="auto"/>
              </w:rPr>
            </w:pPr>
            <w:r>
              <w:rPr>
                <w:rFonts w:ascii="Times New Roman" w:cs="Times New Roman" w:eastAsia="Times New Roman" w:hAnsi="Times New Roman"/>
                <w:sz w:val="13"/>
                <w:szCs w:val="13"/>
                <w:color w:val="auto"/>
              </w:rPr>
              <w:t>7.08%</w:t>
            </w:r>
          </w:p>
        </w:tc>
        <w:tc>
          <w:tcPr>
            <w:tcW w:w="1060" w:type="dxa"/>
            <w:vAlign w:val="bottom"/>
          </w:tcPr>
          <w:p>
            <w:pPr>
              <w:jc w:val="center"/>
              <w:ind w:left="353"/>
              <w:spacing w:after="0"/>
              <w:rPr>
                <w:sz w:val="20"/>
                <w:szCs w:val="20"/>
                <w:color w:val="auto"/>
              </w:rPr>
            </w:pPr>
            <w:r>
              <w:rPr>
                <w:rFonts w:ascii="Times New Roman" w:cs="Times New Roman" w:eastAsia="Times New Roman" w:hAnsi="Times New Roman"/>
                <w:sz w:val="13"/>
                <w:szCs w:val="13"/>
                <w:color w:val="auto"/>
              </w:rPr>
              <w:t>225</w:t>
            </w:r>
          </w:p>
        </w:tc>
        <w:tc>
          <w:tcPr>
            <w:tcW w:w="3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36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i w:val="1"/>
                <w:iCs w:val="1"/>
                <w:color w:val="auto"/>
              </w:rPr>
              <w:t>ICE BofA US High Yield Index</w:t>
            </w:r>
          </w:p>
        </w:tc>
        <w:tc>
          <w:tcPr>
            <w:tcW w:w="10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660" w:type="dxa"/>
            <w:vAlign w:val="bottom"/>
            <w:shd w:val="clear" w:color="auto" w:fill="CCEEFF"/>
          </w:tcPr>
          <w:p>
            <w:pPr>
              <w:jc w:val="center"/>
              <w:ind w:left="33"/>
              <w:spacing w:after="0"/>
              <w:rPr>
                <w:sz w:val="20"/>
                <w:szCs w:val="20"/>
                <w:color w:val="auto"/>
              </w:rPr>
            </w:pPr>
            <w:r>
              <w:rPr>
                <w:rFonts w:ascii="Times New Roman" w:cs="Times New Roman" w:eastAsia="Times New Roman" w:hAnsi="Times New Roman"/>
                <w:sz w:val="13"/>
                <w:szCs w:val="13"/>
                <w:i w:val="1"/>
                <w:iCs w:val="1"/>
                <w:color w:val="auto"/>
              </w:rPr>
              <w:t>6.90%</w:t>
            </w:r>
          </w:p>
        </w:tc>
        <w:tc>
          <w:tcPr>
            <w:tcW w:w="900" w:type="dxa"/>
            <w:vAlign w:val="bottom"/>
            <w:shd w:val="clear" w:color="auto" w:fill="CCEEFF"/>
          </w:tcPr>
          <w:p>
            <w:pPr>
              <w:jc w:val="center"/>
              <w:ind w:left="53"/>
              <w:spacing w:after="0"/>
              <w:rPr>
                <w:sz w:val="20"/>
                <w:szCs w:val="20"/>
                <w:color w:val="auto"/>
              </w:rPr>
            </w:pPr>
            <w:r>
              <w:rPr>
                <w:rFonts w:ascii="Times New Roman" w:cs="Times New Roman" w:eastAsia="Times New Roman" w:hAnsi="Times New Roman"/>
                <w:sz w:val="13"/>
                <w:szCs w:val="13"/>
                <w:i w:val="1"/>
                <w:iCs w:val="1"/>
                <w:color w:val="auto"/>
              </w:rPr>
              <w:t>8.49%</w:t>
            </w:r>
          </w:p>
        </w:tc>
        <w:tc>
          <w:tcPr>
            <w:tcW w:w="7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i w:val="1"/>
                <w:iCs w:val="1"/>
                <w:color w:val="auto"/>
              </w:rPr>
              <w:t>4.19%</w:t>
            </w:r>
          </w:p>
        </w:tc>
        <w:tc>
          <w:tcPr>
            <w:tcW w:w="860" w:type="dxa"/>
            <w:vAlign w:val="bottom"/>
            <w:shd w:val="clear" w:color="auto" w:fill="CCEEFF"/>
          </w:tcPr>
          <w:p>
            <w:pPr>
              <w:jc w:val="center"/>
              <w:ind w:right="13"/>
              <w:spacing w:after="0"/>
              <w:rPr>
                <w:sz w:val="20"/>
                <w:szCs w:val="20"/>
                <w:color w:val="auto"/>
              </w:rPr>
            </w:pPr>
            <w:r>
              <w:rPr>
                <w:rFonts w:ascii="Times New Roman" w:cs="Times New Roman" w:eastAsia="Times New Roman" w:hAnsi="Times New Roman"/>
                <w:sz w:val="13"/>
                <w:szCs w:val="13"/>
                <w:i w:val="1"/>
                <w:iCs w:val="1"/>
                <w:color w:val="auto"/>
              </w:rPr>
              <w:t>6.05%</w:t>
            </w:r>
          </w:p>
        </w:tc>
        <w:tc>
          <w:tcPr>
            <w:tcW w:w="920" w:type="dxa"/>
            <w:vAlign w:val="bottom"/>
            <w:shd w:val="clear" w:color="auto" w:fill="CCEEFF"/>
          </w:tcPr>
          <w:p>
            <w:pPr>
              <w:jc w:val="center"/>
              <w:ind w:right="93"/>
              <w:spacing w:after="0"/>
              <w:rPr>
                <w:sz w:val="20"/>
                <w:szCs w:val="20"/>
                <w:color w:val="auto"/>
              </w:rPr>
            </w:pPr>
            <w:r>
              <w:rPr>
                <w:rFonts w:ascii="Times New Roman" w:cs="Times New Roman" w:eastAsia="Times New Roman" w:hAnsi="Times New Roman"/>
                <w:sz w:val="13"/>
                <w:szCs w:val="13"/>
                <w:i w:val="1"/>
                <w:iCs w:val="1"/>
                <w:color w:val="auto"/>
              </w:rPr>
              <w:t>4.83%</w:t>
            </w:r>
          </w:p>
        </w:tc>
        <w:tc>
          <w:tcPr>
            <w:tcW w:w="10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2"/>
        </w:trPr>
        <w:tc>
          <w:tcPr>
            <w:tcW w:w="36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Credit Opportunities Strategy</w:t>
            </w: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7/1/2017</w:t>
            </w:r>
          </w:p>
        </w:tc>
        <w:tc>
          <w:tcPr>
            <w:tcW w:w="500" w:type="dxa"/>
            <w:vAlign w:val="bottom"/>
          </w:tcPr>
          <w:p>
            <w:pPr>
              <w:jc w:val="right"/>
              <w:ind w:right="294"/>
              <w:spacing w:after="0"/>
              <w:rPr>
                <w:sz w:val="20"/>
                <w:szCs w:val="20"/>
                <w:color w:val="auto"/>
              </w:rPr>
            </w:pPr>
            <w:r>
              <w:rPr>
                <w:rFonts w:ascii="Times New Roman" w:cs="Times New Roman" w:eastAsia="Times New Roman" w:hAnsi="Times New Roman"/>
                <w:sz w:val="13"/>
                <w:szCs w:val="13"/>
                <w:color w:val="auto"/>
              </w:rPr>
              <w:t>$</w:t>
            </w:r>
          </w:p>
        </w:tc>
        <w:tc>
          <w:tcPr>
            <w:tcW w:w="580" w:type="dxa"/>
            <w:vAlign w:val="bottom"/>
          </w:tcPr>
          <w:p>
            <w:pPr>
              <w:jc w:val="right"/>
              <w:ind w:right="93"/>
              <w:spacing w:after="0"/>
              <w:rPr>
                <w:sz w:val="20"/>
                <w:szCs w:val="20"/>
                <w:color w:val="auto"/>
              </w:rPr>
            </w:pPr>
            <w:r>
              <w:rPr>
                <w:rFonts w:ascii="Times New Roman" w:cs="Times New Roman" w:eastAsia="Times New Roman" w:hAnsi="Times New Roman"/>
                <w:sz w:val="13"/>
                <w:szCs w:val="13"/>
                <w:color w:val="auto"/>
              </w:rPr>
              <w:t>372</w:t>
            </w:r>
          </w:p>
        </w:tc>
        <w:tc>
          <w:tcPr>
            <w:tcW w:w="660" w:type="dxa"/>
            <w:vAlign w:val="bottom"/>
          </w:tcPr>
          <w:p>
            <w:pPr>
              <w:jc w:val="center"/>
              <w:ind w:left="33"/>
              <w:spacing w:after="0"/>
              <w:rPr>
                <w:sz w:val="20"/>
                <w:szCs w:val="20"/>
                <w:color w:val="auto"/>
              </w:rPr>
            </w:pPr>
            <w:r>
              <w:rPr>
                <w:rFonts w:ascii="Times New Roman" w:cs="Times New Roman" w:eastAsia="Times New Roman" w:hAnsi="Times New Roman"/>
                <w:sz w:val="13"/>
                <w:szCs w:val="13"/>
                <w:color w:val="auto"/>
              </w:rPr>
              <w:t>6.69%</w:t>
            </w:r>
          </w:p>
        </w:tc>
        <w:tc>
          <w:tcPr>
            <w:tcW w:w="900" w:type="dxa"/>
            <w:vAlign w:val="bottom"/>
          </w:tcPr>
          <w:p>
            <w:pPr>
              <w:jc w:val="center"/>
              <w:ind w:left="53"/>
              <w:spacing w:after="0"/>
              <w:rPr>
                <w:sz w:val="20"/>
                <w:szCs w:val="20"/>
                <w:color w:val="auto"/>
              </w:rPr>
            </w:pPr>
            <w:r>
              <w:rPr>
                <w:rFonts w:ascii="Times New Roman" w:cs="Times New Roman" w:eastAsia="Times New Roman" w:hAnsi="Times New Roman"/>
                <w:sz w:val="13"/>
                <w:szCs w:val="13"/>
                <w:color w:val="auto"/>
              </w:rPr>
              <w:t>15.39%</w:t>
            </w:r>
          </w:p>
        </w:tc>
        <w:tc>
          <w:tcPr>
            <w:tcW w:w="78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11.48%</w:t>
            </w:r>
          </w:p>
        </w:tc>
        <w:tc>
          <w:tcPr>
            <w:tcW w:w="860" w:type="dxa"/>
            <w:vAlign w:val="bottom"/>
          </w:tcPr>
          <w:p>
            <w:pPr>
              <w:jc w:val="center"/>
              <w:ind w:right="13"/>
              <w:spacing w:after="0"/>
              <w:rPr>
                <w:sz w:val="20"/>
                <w:szCs w:val="20"/>
                <w:color w:val="auto"/>
              </w:rPr>
            </w:pPr>
            <w:r>
              <w:rPr>
                <w:rFonts w:ascii="Times New Roman" w:cs="Times New Roman" w:eastAsia="Times New Roman" w:hAnsi="Times New Roman"/>
                <w:sz w:val="13"/>
                <w:szCs w:val="13"/>
                <w:color w:val="auto"/>
              </w:rPr>
              <w:t>---</w:t>
            </w:r>
          </w:p>
        </w:tc>
        <w:tc>
          <w:tcPr>
            <w:tcW w:w="920" w:type="dxa"/>
            <w:vAlign w:val="bottom"/>
          </w:tcPr>
          <w:p>
            <w:pPr>
              <w:jc w:val="center"/>
              <w:ind w:right="73"/>
              <w:spacing w:after="0"/>
              <w:rPr>
                <w:sz w:val="20"/>
                <w:szCs w:val="20"/>
                <w:color w:val="auto"/>
              </w:rPr>
            </w:pPr>
            <w:r>
              <w:rPr>
                <w:rFonts w:ascii="Times New Roman" w:cs="Times New Roman" w:eastAsia="Times New Roman" w:hAnsi="Times New Roman"/>
                <w:sz w:val="13"/>
                <w:szCs w:val="13"/>
                <w:color w:val="auto"/>
              </w:rPr>
              <w:t>12.83%</w:t>
            </w:r>
          </w:p>
        </w:tc>
        <w:tc>
          <w:tcPr>
            <w:tcW w:w="1060" w:type="dxa"/>
            <w:vAlign w:val="bottom"/>
          </w:tcPr>
          <w:p>
            <w:pPr>
              <w:jc w:val="center"/>
              <w:ind w:left="333"/>
              <w:spacing w:after="0"/>
              <w:rPr>
                <w:sz w:val="20"/>
                <w:szCs w:val="20"/>
                <w:color w:val="auto"/>
              </w:rPr>
            </w:pPr>
            <w:r>
              <w:rPr>
                <w:rFonts w:ascii="Times New Roman" w:cs="Times New Roman" w:eastAsia="Times New Roman" w:hAnsi="Times New Roman"/>
                <w:sz w:val="13"/>
                <w:szCs w:val="13"/>
                <w:color w:val="auto"/>
              </w:rPr>
              <w:t>1,014</w:t>
            </w:r>
          </w:p>
        </w:tc>
        <w:tc>
          <w:tcPr>
            <w:tcW w:w="3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3620" w:type="dxa"/>
            <w:vAlign w:val="bottom"/>
            <w:shd w:val="clear" w:color="auto" w:fill="CCEEFF"/>
          </w:tcPr>
          <w:p>
            <w:pPr>
              <w:ind w:left="140"/>
              <w:spacing w:after="0" w:line="142" w:lineRule="exact"/>
              <w:rPr>
                <w:sz w:val="20"/>
                <w:szCs w:val="20"/>
                <w:color w:val="auto"/>
              </w:rPr>
            </w:pPr>
            <w:r>
              <w:rPr>
                <w:rFonts w:ascii="Times New Roman" w:cs="Times New Roman" w:eastAsia="Times New Roman" w:hAnsi="Times New Roman"/>
                <w:sz w:val="13"/>
                <w:szCs w:val="13"/>
                <w:i w:val="1"/>
                <w:iCs w:val="1"/>
                <w:color w:val="auto"/>
              </w:rPr>
              <w:t>ICE BofA US Dollar 3-Month Deposit Offered Rate Constant</w:t>
            </w:r>
          </w:p>
        </w:tc>
        <w:tc>
          <w:tcPr>
            <w:tcW w:w="10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660" w:type="dxa"/>
            <w:vAlign w:val="bottom"/>
            <w:vMerge w:val="restart"/>
            <w:shd w:val="clear" w:color="auto" w:fill="CCEEFF"/>
          </w:tcPr>
          <w:p>
            <w:pPr>
              <w:jc w:val="center"/>
              <w:ind w:left="33"/>
              <w:spacing w:after="0"/>
              <w:rPr>
                <w:sz w:val="20"/>
                <w:szCs w:val="20"/>
                <w:color w:val="auto"/>
              </w:rPr>
            </w:pPr>
            <w:r>
              <w:rPr>
                <w:rFonts w:ascii="Times New Roman" w:cs="Times New Roman" w:eastAsia="Times New Roman" w:hAnsi="Times New Roman"/>
                <w:sz w:val="13"/>
                <w:szCs w:val="13"/>
                <w:i w:val="1"/>
                <w:iCs w:val="1"/>
                <w:color w:val="auto"/>
              </w:rPr>
              <w:t>4.25%</w:t>
            </w:r>
          </w:p>
        </w:tc>
        <w:tc>
          <w:tcPr>
            <w:tcW w:w="900" w:type="dxa"/>
            <w:vAlign w:val="bottom"/>
            <w:vMerge w:val="restart"/>
            <w:shd w:val="clear" w:color="auto" w:fill="CCEEFF"/>
          </w:tcPr>
          <w:p>
            <w:pPr>
              <w:jc w:val="center"/>
              <w:ind w:left="53"/>
              <w:spacing w:after="0"/>
              <w:rPr>
                <w:sz w:val="20"/>
                <w:szCs w:val="20"/>
                <w:color w:val="auto"/>
              </w:rPr>
            </w:pPr>
            <w:r>
              <w:rPr>
                <w:rFonts w:ascii="Times New Roman" w:cs="Times New Roman" w:eastAsia="Times New Roman" w:hAnsi="Times New Roman"/>
                <w:sz w:val="13"/>
                <w:szCs w:val="13"/>
                <w:i w:val="1"/>
                <w:iCs w:val="1"/>
                <w:color w:val="auto"/>
              </w:rPr>
              <w:t>4.93%</w:t>
            </w:r>
          </w:p>
        </w:tc>
        <w:tc>
          <w:tcPr>
            <w:tcW w:w="78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3"/>
                <w:szCs w:val="13"/>
                <w:i w:val="1"/>
                <w:iCs w:val="1"/>
                <w:color w:val="auto"/>
              </w:rPr>
              <w:t>3.43%</w:t>
            </w:r>
          </w:p>
        </w:tc>
        <w:tc>
          <w:tcPr>
            <w:tcW w:w="860" w:type="dxa"/>
            <w:vAlign w:val="bottom"/>
            <w:vMerge w:val="restart"/>
            <w:shd w:val="clear" w:color="auto" w:fill="CCEEFF"/>
          </w:tcPr>
          <w:p>
            <w:pPr>
              <w:jc w:val="center"/>
              <w:ind w:right="13"/>
              <w:spacing w:after="0"/>
              <w:rPr>
                <w:sz w:val="20"/>
                <w:szCs w:val="20"/>
                <w:color w:val="auto"/>
              </w:rPr>
            </w:pPr>
            <w:r>
              <w:rPr>
                <w:rFonts w:ascii="Times New Roman" w:cs="Times New Roman" w:eastAsia="Times New Roman" w:hAnsi="Times New Roman"/>
                <w:sz w:val="13"/>
                <w:szCs w:val="13"/>
                <w:i w:val="1"/>
                <w:iCs w:val="1"/>
                <w:color w:val="auto"/>
              </w:rPr>
              <w:t>---</w:t>
            </w:r>
          </w:p>
        </w:tc>
        <w:tc>
          <w:tcPr>
            <w:tcW w:w="920" w:type="dxa"/>
            <w:vAlign w:val="bottom"/>
            <w:vMerge w:val="restart"/>
            <w:shd w:val="clear" w:color="auto" w:fill="CCEEFF"/>
          </w:tcPr>
          <w:p>
            <w:pPr>
              <w:jc w:val="center"/>
              <w:ind w:right="93"/>
              <w:spacing w:after="0"/>
              <w:rPr>
                <w:sz w:val="20"/>
                <w:szCs w:val="20"/>
                <w:color w:val="auto"/>
              </w:rPr>
            </w:pPr>
            <w:r>
              <w:rPr>
                <w:rFonts w:ascii="Times New Roman" w:cs="Times New Roman" w:eastAsia="Times New Roman" w:hAnsi="Times New Roman"/>
                <w:sz w:val="13"/>
                <w:szCs w:val="13"/>
                <w:i w:val="1"/>
                <w:iCs w:val="1"/>
                <w:color w:val="auto"/>
              </w:rPr>
              <w:t>2.69%</w:t>
            </w:r>
          </w:p>
        </w:tc>
        <w:tc>
          <w:tcPr>
            <w:tcW w:w="106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36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i w:val="1"/>
                <w:iCs w:val="1"/>
                <w:color w:val="auto"/>
              </w:rPr>
              <w:t>Maturity Index</w:t>
            </w:r>
          </w:p>
        </w:tc>
        <w:tc>
          <w:tcPr>
            <w:tcW w:w="100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660" w:type="dxa"/>
            <w:vAlign w:val="bottom"/>
            <w:vMerge w:val="continue"/>
            <w:shd w:val="clear" w:color="auto" w:fill="CCEEFF"/>
          </w:tcPr>
          <w:p>
            <w:pPr>
              <w:spacing w:after="0"/>
              <w:rPr>
                <w:sz w:val="16"/>
                <w:szCs w:val="16"/>
                <w:color w:val="auto"/>
              </w:rPr>
            </w:pPr>
          </w:p>
        </w:tc>
        <w:tc>
          <w:tcPr>
            <w:tcW w:w="900" w:type="dxa"/>
            <w:vAlign w:val="bottom"/>
            <w:vMerge w:val="continue"/>
            <w:shd w:val="clear" w:color="auto" w:fill="CCEEFF"/>
          </w:tcPr>
          <w:p>
            <w:pPr>
              <w:spacing w:after="0"/>
              <w:rPr>
                <w:sz w:val="16"/>
                <w:szCs w:val="16"/>
                <w:color w:val="auto"/>
              </w:rPr>
            </w:pPr>
          </w:p>
        </w:tc>
        <w:tc>
          <w:tcPr>
            <w:tcW w:w="780" w:type="dxa"/>
            <w:vAlign w:val="bottom"/>
            <w:vMerge w:val="continue"/>
            <w:shd w:val="clear" w:color="auto" w:fill="CCEEFF"/>
          </w:tcPr>
          <w:p>
            <w:pPr>
              <w:spacing w:after="0"/>
              <w:rPr>
                <w:sz w:val="16"/>
                <w:szCs w:val="16"/>
                <w:color w:val="auto"/>
              </w:rPr>
            </w:pPr>
          </w:p>
        </w:tc>
        <w:tc>
          <w:tcPr>
            <w:tcW w:w="860" w:type="dxa"/>
            <w:vAlign w:val="bottom"/>
            <w:vMerge w:val="continue"/>
            <w:shd w:val="clear" w:color="auto" w:fill="CCEEFF"/>
          </w:tcPr>
          <w:p>
            <w:pPr>
              <w:spacing w:after="0"/>
              <w:rPr>
                <w:sz w:val="16"/>
                <w:szCs w:val="16"/>
                <w:color w:val="auto"/>
              </w:rPr>
            </w:pPr>
          </w:p>
        </w:tc>
        <w:tc>
          <w:tcPr>
            <w:tcW w:w="920" w:type="dxa"/>
            <w:vAlign w:val="bottom"/>
            <w:vMerge w:val="continue"/>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2"/>
        </w:trPr>
        <w:tc>
          <w:tcPr>
            <w:tcW w:w="36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Floating Rate Strategy</w:t>
            </w: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1/1/2022</w:t>
            </w:r>
          </w:p>
        </w:tc>
        <w:tc>
          <w:tcPr>
            <w:tcW w:w="500" w:type="dxa"/>
            <w:vAlign w:val="bottom"/>
          </w:tcPr>
          <w:p>
            <w:pPr>
              <w:jc w:val="right"/>
              <w:ind w:right="294"/>
              <w:spacing w:after="0"/>
              <w:rPr>
                <w:sz w:val="20"/>
                <w:szCs w:val="20"/>
                <w:color w:val="auto"/>
              </w:rPr>
            </w:pPr>
            <w:r>
              <w:rPr>
                <w:rFonts w:ascii="Times New Roman" w:cs="Times New Roman" w:eastAsia="Times New Roman" w:hAnsi="Times New Roman"/>
                <w:sz w:val="13"/>
                <w:szCs w:val="13"/>
                <w:color w:val="auto"/>
              </w:rPr>
              <w:t>$</w:t>
            </w:r>
          </w:p>
        </w:tc>
        <w:tc>
          <w:tcPr>
            <w:tcW w:w="580" w:type="dxa"/>
            <w:vAlign w:val="bottom"/>
          </w:tcPr>
          <w:p>
            <w:pPr>
              <w:jc w:val="right"/>
              <w:ind w:right="93"/>
              <w:spacing w:after="0"/>
              <w:rPr>
                <w:sz w:val="20"/>
                <w:szCs w:val="20"/>
                <w:color w:val="auto"/>
              </w:rPr>
            </w:pPr>
            <w:r>
              <w:rPr>
                <w:rFonts w:ascii="Times New Roman" w:cs="Times New Roman" w:eastAsia="Times New Roman" w:hAnsi="Times New Roman"/>
                <w:sz w:val="13"/>
                <w:szCs w:val="13"/>
                <w:color w:val="auto"/>
              </w:rPr>
              <w:t>124</w:t>
            </w:r>
          </w:p>
        </w:tc>
        <w:tc>
          <w:tcPr>
            <w:tcW w:w="660" w:type="dxa"/>
            <w:vAlign w:val="bottom"/>
          </w:tcPr>
          <w:p>
            <w:pPr>
              <w:jc w:val="center"/>
              <w:ind w:left="33"/>
              <w:spacing w:after="0"/>
              <w:rPr>
                <w:sz w:val="20"/>
                <w:szCs w:val="20"/>
                <w:color w:val="auto"/>
              </w:rPr>
            </w:pPr>
            <w:r>
              <w:rPr>
                <w:rFonts w:ascii="Times New Roman" w:cs="Times New Roman" w:eastAsia="Times New Roman" w:hAnsi="Times New Roman"/>
                <w:sz w:val="13"/>
                <w:szCs w:val="13"/>
                <w:color w:val="auto"/>
              </w:rPr>
              <w:t>6.26%</w:t>
            </w:r>
          </w:p>
        </w:tc>
        <w:tc>
          <w:tcPr>
            <w:tcW w:w="900" w:type="dxa"/>
            <w:vAlign w:val="bottom"/>
          </w:tcPr>
          <w:p>
            <w:pPr>
              <w:jc w:val="center"/>
              <w:ind w:left="53"/>
              <w:spacing w:after="0"/>
              <w:rPr>
                <w:sz w:val="20"/>
                <w:szCs w:val="20"/>
                <w:color w:val="auto"/>
              </w:rPr>
            </w:pPr>
            <w:r>
              <w:rPr>
                <w:rFonts w:ascii="Times New Roman" w:cs="Times New Roman" w:eastAsia="Times New Roman" w:hAnsi="Times New Roman"/>
                <w:sz w:val="13"/>
                <w:szCs w:val="13"/>
                <w:color w:val="auto"/>
              </w:rPr>
              <w:t>8.92%</w:t>
            </w:r>
          </w:p>
        </w:tc>
        <w:tc>
          <w:tcPr>
            <w:tcW w:w="78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w:t>
            </w:r>
          </w:p>
        </w:tc>
        <w:tc>
          <w:tcPr>
            <w:tcW w:w="860" w:type="dxa"/>
            <w:vAlign w:val="bottom"/>
          </w:tcPr>
          <w:p>
            <w:pPr>
              <w:jc w:val="center"/>
              <w:ind w:right="13"/>
              <w:spacing w:after="0"/>
              <w:rPr>
                <w:sz w:val="20"/>
                <w:szCs w:val="20"/>
                <w:color w:val="auto"/>
              </w:rPr>
            </w:pPr>
            <w:r>
              <w:rPr>
                <w:rFonts w:ascii="Times New Roman" w:cs="Times New Roman" w:eastAsia="Times New Roman" w:hAnsi="Times New Roman"/>
                <w:sz w:val="13"/>
                <w:szCs w:val="13"/>
                <w:color w:val="auto"/>
              </w:rPr>
              <w:t>---</w:t>
            </w:r>
          </w:p>
        </w:tc>
        <w:tc>
          <w:tcPr>
            <w:tcW w:w="920" w:type="dxa"/>
            <w:vAlign w:val="bottom"/>
          </w:tcPr>
          <w:p>
            <w:pPr>
              <w:jc w:val="center"/>
              <w:ind w:right="93"/>
              <w:spacing w:after="0"/>
              <w:rPr>
                <w:sz w:val="20"/>
                <w:szCs w:val="20"/>
                <w:color w:val="auto"/>
              </w:rPr>
            </w:pPr>
            <w:r>
              <w:rPr>
                <w:rFonts w:ascii="Times New Roman" w:cs="Times New Roman" w:eastAsia="Times New Roman" w:hAnsi="Times New Roman"/>
                <w:sz w:val="13"/>
                <w:szCs w:val="13"/>
                <w:color w:val="auto"/>
              </w:rPr>
              <w:t>6.90%</w:t>
            </w:r>
          </w:p>
        </w:tc>
        <w:tc>
          <w:tcPr>
            <w:tcW w:w="1060" w:type="dxa"/>
            <w:vAlign w:val="bottom"/>
          </w:tcPr>
          <w:p>
            <w:pPr>
              <w:jc w:val="center"/>
              <w:ind w:left="333"/>
              <w:spacing w:after="0"/>
              <w:rPr>
                <w:sz w:val="20"/>
                <w:szCs w:val="20"/>
                <w:color w:val="auto"/>
              </w:rPr>
            </w:pPr>
            <w:r>
              <w:rPr>
                <w:rFonts w:ascii="Times New Roman" w:cs="Times New Roman" w:eastAsia="Times New Roman" w:hAnsi="Times New Roman"/>
                <w:sz w:val="13"/>
                <w:szCs w:val="13"/>
                <w:color w:val="auto"/>
              </w:rPr>
              <w:t>80</w:t>
            </w:r>
          </w:p>
        </w:tc>
        <w:tc>
          <w:tcPr>
            <w:tcW w:w="3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36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i w:val="1"/>
                <w:iCs w:val="1"/>
                <w:color w:val="auto"/>
              </w:rPr>
              <w:t>S&amp;P UBS Leveraged Loan Index</w:t>
            </w:r>
          </w:p>
        </w:tc>
        <w:tc>
          <w:tcPr>
            <w:tcW w:w="10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660" w:type="dxa"/>
            <w:vAlign w:val="bottom"/>
            <w:shd w:val="clear" w:color="auto" w:fill="CCEEFF"/>
          </w:tcPr>
          <w:p>
            <w:pPr>
              <w:jc w:val="center"/>
              <w:ind w:left="33"/>
              <w:spacing w:after="0"/>
              <w:rPr>
                <w:sz w:val="20"/>
                <w:szCs w:val="20"/>
                <w:color w:val="auto"/>
              </w:rPr>
            </w:pPr>
            <w:r>
              <w:rPr>
                <w:rFonts w:ascii="Times New Roman" w:cs="Times New Roman" w:eastAsia="Times New Roman" w:hAnsi="Times New Roman"/>
                <w:sz w:val="13"/>
                <w:szCs w:val="13"/>
                <w:i w:val="1"/>
                <w:iCs w:val="1"/>
                <w:color w:val="auto"/>
              </w:rPr>
              <w:t>4.79%</w:t>
            </w:r>
          </w:p>
        </w:tc>
        <w:tc>
          <w:tcPr>
            <w:tcW w:w="900" w:type="dxa"/>
            <w:vAlign w:val="bottom"/>
            <w:shd w:val="clear" w:color="auto" w:fill="CCEEFF"/>
          </w:tcPr>
          <w:p>
            <w:pPr>
              <w:jc w:val="center"/>
              <w:ind w:left="53"/>
              <w:spacing w:after="0"/>
              <w:rPr>
                <w:sz w:val="20"/>
                <w:szCs w:val="20"/>
                <w:color w:val="auto"/>
              </w:rPr>
            </w:pPr>
            <w:r>
              <w:rPr>
                <w:rFonts w:ascii="Times New Roman" w:cs="Times New Roman" w:eastAsia="Times New Roman" w:hAnsi="Times New Roman"/>
                <w:sz w:val="13"/>
                <w:szCs w:val="13"/>
                <w:i w:val="1"/>
                <w:iCs w:val="1"/>
                <w:color w:val="auto"/>
              </w:rPr>
              <w:t>8.02%</w:t>
            </w:r>
          </w:p>
        </w:tc>
        <w:tc>
          <w:tcPr>
            <w:tcW w:w="7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i w:val="1"/>
                <w:iCs w:val="1"/>
                <w:color w:val="auto"/>
              </w:rPr>
              <w:t>---</w:t>
            </w:r>
          </w:p>
        </w:tc>
        <w:tc>
          <w:tcPr>
            <w:tcW w:w="860" w:type="dxa"/>
            <w:vAlign w:val="bottom"/>
            <w:shd w:val="clear" w:color="auto" w:fill="CCEEFF"/>
          </w:tcPr>
          <w:p>
            <w:pPr>
              <w:jc w:val="center"/>
              <w:ind w:right="13"/>
              <w:spacing w:after="0"/>
              <w:rPr>
                <w:sz w:val="20"/>
                <w:szCs w:val="20"/>
                <w:color w:val="auto"/>
              </w:rPr>
            </w:pPr>
            <w:r>
              <w:rPr>
                <w:rFonts w:ascii="Times New Roman" w:cs="Times New Roman" w:eastAsia="Times New Roman" w:hAnsi="Times New Roman"/>
                <w:sz w:val="13"/>
                <w:szCs w:val="13"/>
                <w:i w:val="1"/>
                <w:iCs w:val="1"/>
                <w:color w:val="auto"/>
              </w:rPr>
              <w:t>---</w:t>
            </w:r>
          </w:p>
        </w:tc>
        <w:tc>
          <w:tcPr>
            <w:tcW w:w="920" w:type="dxa"/>
            <w:vAlign w:val="bottom"/>
            <w:shd w:val="clear" w:color="auto" w:fill="CCEEFF"/>
          </w:tcPr>
          <w:p>
            <w:pPr>
              <w:jc w:val="center"/>
              <w:ind w:right="93"/>
              <w:spacing w:after="0"/>
              <w:rPr>
                <w:sz w:val="20"/>
                <w:szCs w:val="20"/>
                <w:color w:val="auto"/>
              </w:rPr>
            </w:pPr>
            <w:r>
              <w:rPr>
                <w:rFonts w:ascii="Times New Roman" w:cs="Times New Roman" w:eastAsia="Times New Roman" w:hAnsi="Times New Roman"/>
                <w:sz w:val="13"/>
                <w:szCs w:val="13"/>
                <w:i w:val="1"/>
                <w:iCs w:val="1"/>
                <w:color w:val="auto"/>
              </w:rPr>
              <w:t>6.10%</w:t>
            </w:r>
          </w:p>
        </w:tc>
        <w:tc>
          <w:tcPr>
            <w:tcW w:w="10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8"/>
        </w:trPr>
        <w:tc>
          <w:tcPr>
            <w:tcW w:w="36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 xml:space="preserve">Custom Credit Solutions </w:t>
            </w:r>
            <w:r>
              <w:rPr>
                <w:rFonts w:ascii="Times New Roman" w:cs="Times New Roman" w:eastAsia="Times New Roman" w:hAnsi="Times New Roman"/>
                <w:sz w:val="17"/>
                <w:szCs w:val="17"/>
                <w:color w:val="auto"/>
                <w:vertAlign w:val="superscript"/>
              </w:rPr>
              <w:t>(4)</w:t>
            </w: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7/1/2025</w:t>
            </w:r>
          </w:p>
        </w:tc>
        <w:tc>
          <w:tcPr>
            <w:tcW w:w="500" w:type="dxa"/>
            <w:vAlign w:val="bottom"/>
          </w:tcPr>
          <w:p>
            <w:pPr>
              <w:jc w:val="right"/>
              <w:ind w:right="294"/>
              <w:spacing w:after="0"/>
              <w:rPr>
                <w:sz w:val="20"/>
                <w:szCs w:val="20"/>
                <w:color w:val="auto"/>
              </w:rPr>
            </w:pPr>
            <w:r>
              <w:rPr>
                <w:rFonts w:ascii="Times New Roman" w:cs="Times New Roman" w:eastAsia="Times New Roman" w:hAnsi="Times New Roman"/>
                <w:sz w:val="13"/>
                <w:szCs w:val="13"/>
                <w:color w:val="auto"/>
              </w:rPr>
              <w:t>$</w:t>
            </w:r>
          </w:p>
        </w:tc>
        <w:tc>
          <w:tcPr>
            <w:tcW w:w="580" w:type="dxa"/>
            <w:vAlign w:val="bottom"/>
          </w:tcPr>
          <w:p>
            <w:pPr>
              <w:jc w:val="right"/>
              <w:ind w:right="93"/>
              <w:spacing w:after="0"/>
              <w:rPr>
                <w:sz w:val="20"/>
                <w:szCs w:val="20"/>
                <w:color w:val="auto"/>
              </w:rPr>
            </w:pPr>
            <w:r>
              <w:rPr>
                <w:rFonts w:ascii="Times New Roman" w:cs="Times New Roman" w:eastAsia="Times New Roman" w:hAnsi="Times New Roman"/>
                <w:sz w:val="13"/>
                <w:szCs w:val="13"/>
                <w:color w:val="auto"/>
              </w:rPr>
              <w:t>1,491</w:t>
            </w:r>
          </w:p>
        </w:tc>
        <w:tc>
          <w:tcPr>
            <w:tcW w:w="660" w:type="dxa"/>
            <w:vAlign w:val="bottom"/>
          </w:tcPr>
          <w:p>
            <w:pPr>
              <w:jc w:val="center"/>
              <w:ind w:left="53"/>
              <w:spacing w:after="0"/>
              <w:rPr>
                <w:sz w:val="20"/>
                <w:szCs w:val="20"/>
                <w:color w:val="auto"/>
              </w:rPr>
            </w:pPr>
            <w:r>
              <w:rPr>
                <w:rFonts w:ascii="Times New Roman" w:cs="Times New Roman" w:eastAsia="Times New Roman" w:hAnsi="Times New Roman"/>
                <w:sz w:val="13"/>
                <w:szCs w:val="13"/>
                <w:color w:val="auto"/>
              </w:rPr>
              <w:t>---</w:t>
            </w:r>
          </w:p>
        </w:tc>
        <w:tc>
          <w:tcPr>
            <w:tcW w:w="900" w:type="dxa"/>
            <w:vAlign w:val="bottom"/>
          </w:tcPr>
          <w:p>
            <w:pPr>
              <w:jc w:val="center"/>
              <w:ind w:left="53"/>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w:t>
            </w:r>
          </w:p>
        </w:tc>
        <w:tc>
          <w:tcPr>
            <w:tcW w:w="860" w:type="dxa"/>
            <w:vAlign w:val="bottom"/>
          </w:tcPr>
          <w:p>
            <w:pPr>
              <w:jc w:val="center"/>
              <w:ind w:right="13"/>
              <w:spacing w:after="0"/>
              <w:rPr>
                <w:sz w:val="20"/>
                <w:szCs w:val="20"/>
                <w:color w:val="auto"/>
              </w:rPr>
            </w:pPr>
            <w:r>
              <w:rPr>
                <w:rFonts w:ascii="Times New Roman" w:cs="Times New Roman" w:eastAsia="Times New Roman" w:hAnsi="Times New Roman"/>
                <w:sz w:val="13"/>
                <w:szCs w:val="13"/>
                <w:color w:val="auto"/>
              </w:rPr>
              <w:t>---</w:t>
            </w:r>
          </w:p>
        </w:tc>
        <w:tc>
          <w:tcPr>
            <w:tcW w:w="920" w:type="dxa"/>
            <w:vAlign w:val="bottom"/>
          </w:tcPr>
          <w:p>
            <w:pPr>
              <w:jc w:val="center"/>
              <w:ind w:right="93"/>
              <w:spacing w:after="0"/>
              <w:rPr>
                <w:sz w:val="20"/>
                <w:szCs w:val="20"/>
                <w:color w:val="auto"/>
              </w:rPr>
            </w:pPr>
            <w:r>
              <w:rPr>
                <w:rFonts w:ascii="Times New Roman" w:cs="Times New Roman" w:eastAsia="Times New Roman" w:hAnsi="Times New Roman"/>
                <w:sz w:val="13"/>
                <w:szCs w:val="13"/>
                <w:color w:val="auto"/>
                <w:w w:val="92"/>
              </w:rPr>
              <w:t>---</w:t>
            </w:r>
          </w:p>
        </w:tc>
        <w:tc>
          <w:tcPr>
            <w:tcW w:w="1060" w:type="dxa"/>
            <w:vAlign w:val="bottom"/>
          </w:tcPr>
          <w:p>
            <w:pPr>
              <w:jc w:val="center"/>
              <w:ind w:left="333"/>
              <w:spacing w:after="0"/>
              <w:rPr>
                <w:sz w:val="20"/>
                <w:szCs w:val="20"/>
                <w:color w:val="auto"/>
              </w:rPr>
            </w:pPr>
            <w:r>
              <w:rPr>
                <w:rFonts w:ascii="Times New Roman" w:cs="Times New Roman" w:eastAsia="Times New Roman" w:hAnsi="Times New Roman"/>
                <w:sz w:val="13"/>
                <w:szCs w:val="13"/>
                <w:color w:val="auto"/>
              </w:rPr>
              <w:t>---</w:t>
            </w:r>
          </w:p>
        </w:tc>
        <w:tc>
          <w:tcPr>
            <w:tcW w:w="3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3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Developing World Team</w:t>
            </w:r>
          </w:p>
        </w:tc>
        <w:tc>
          <w:tcPr>
            <w:tcW w:w="104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1280" w:type="dxa"/>
            <w:vAlign w:val="bottom"/>
            <w:shd w:val="clear" w:color="auto" w:fill="CCEEFF"/>
          </w:tcPr>
          <w:p>
            <w:pPr>
              <w:spacing w:after="0"/>
              <w:rPr>
                <w:sz w:val="16"/>
                <w:szCs w:val="16"/>
                <w:color w:val="auto"/>
              </w:rPr>
            </w:pPr>
          </w:p>
        </w:tc>
      </w:tr>
      <w:tr>
        <w:trPr>
          <w:trHeight w:val="182"/>
        </w:trPr>
        <w:tc>
          <w:tcPr>
            <w:tcW w:w="36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Developing World Strategy</w:t>
            </w:r>
          </w:p>
        </w:tc>
        <w:tc>
          <w:tcPr>
            <w:tcW w:w="104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7/1/2015</w:t>
            </w:r>
          </w:p>
        </w:tc>
        <w:tc>
          <w:tcPr>
            <w:tcW w:w="260" w:type="dxa"/>
            <w:vAlign w:val="bottom"/>
          </w:tcPr>
          <w:p>
            <w:pPr>
              <w:jc w:val="right"/>
              <w:ind w:right="113"/>
              <w:spacing w:after="0"/>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3,145</w:t>
            </w:r>
          </w:p>
        </w:tc>
        <w:tc>
          <w:tcPr>
            <w:tcW w:w="900" w:type="dxa"/>
            <w:vAlign w:val="bottom"/>
          </w:tcPr>
          <w:p>
            <w:pPr>
              <w:jc w:val="center"/>
              <w:ind w:left="13"/>
              <w:spacing w:after="0"/>
              <w:rPr>
                <w:sz w:val="20"/>
                <w:szCs w:val="20"/>
                <w:color w:val="auto"/>
              </w:rPr>
            </w:pPr>
            <w:r>
              <w:rPr>
                <w:rFonts w:ascii="Times New Roman" w:cs="Times New Roman" w:eastAsia="Times New Roman" w:hAnsi="Times New Roman"/>
                <w:sz w:val="13"/>
                <w:szCs w:val="13"/>
                <w:color w:val="auto"/>
              </w:rPr>
              <w:t>(11.92)%</w:t>
            </w:r>
          </w:p>
        </w:tc>
        <w:tc>
          <w:tcPr>
            <w:tcW w:w="76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7.52%</w:t>
            </w:r>
          </w:p>
        </w:tc>
        <w:tc>
          <w:tcPr>
            <w:tcW w:w="78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(3.25)%</w:t>
            </w:r>
          </w:p>
        </w:tc>
        <w:tc>
          <w:tcPr>
            <w:tcW w:w="82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10.60%</w:t>
            </w:r>
          </w:p>
        </w:tc>
        <w:tc>
          <w:tcPr>
            <w:tcW w:w="1100" w:type="dxa"/>
            <w:vAlign w:val="bottom"/>
          </w:tcPr>
          <w:p>
            <w:pPr>
              <w:jc w:val="center"/>
              <w:ind w:right="193"/>
              <w:spacing w:after="0"/>
              <w:rPr>
                <w:sz w:val="20"/>
                <w:szCs w:val="20"/>
                <w:color w:val="auto"/>
              </w:rPr>
            </w:pPr>
            <w:r>
              <w:rPr>
                <w:rFonts w:ascii="Times New Roman" w:cs="Times New Roman" w:eastAsia="Times New Roman" w:hAnsi="Times New Roman"/>
                <w:sz w:val="13"/>
                <w:szCs w:val="13"/>
                <w:color w:val="auto"/>
              </w:rPr>
              <w:t>9.07%</w:t>
            </w:r>
          </w:p>
        </w:tc>
        <w:tc>
          <w:tcPr>
            <w:tcW w:w="1280" w:type="dxa"/>
            <w:vAlign w:val="bottom"/>
          </w:tcPr>
          <w:p>
            <w:pPr>
              <w:jc w:val="center"/>
              <w:ind w:right="13"/>
              <w:spacing w:after="0"/>
              <w:rPr>
                <w:sz w:val="20"/>
                <w:szCs w:val="20"/>
                <w:color w:val="auto"/>
              </w:rPr>
            </w:pPr>
            <w:r>
              <w:rPr>
                <w:rFonts w:ascii="Times New Roman" w:cs="Times New Roman" w:eastAsia="Times New Roman" w:hAnsi="Times New Roman"/>
                <w:sz w:val="13"/>
                <w:szCs w:val="13"/>
                <w:color w:val="auto"/>
              </w:rPr>
              <w:t>318</w:t>
            </w:r>
          </w:p>
        </w:tc>
      </w:tr>
      <w:tr>
        <w:trPr>
          <w:trHeight w:val="196"/>
        </w:trPr>
        <w:tc>
          <w:tcPr>
            <w:tcW w:w="36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i w:val="1"/>
                <w:iCs w:val="1"/>
                <w:color w:val="auto"/>
              </w:rPr>
              <w:t>MSCI Emerging Markets Index</w:t>
            </w:r>
          </w:p>
        </w:tc>
        <w:tc>
          <w:tcPr>
            <w:tcW w:w="10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900" w:type="dxa"/>
            <w:vAlign w:val="bottom"/>
            <w:shd w:val="clear" w:color="auto" w:fill="CCEEFF"/>
          </w:tcPr>
          <w:p>
            <w:pPr>
              <w:jc w:val="center"/>
              <w:ind w:left="13"/>
              <w:spacing w:after="0"/>
              <w:rPr>
                <w:sz w:val="20"/>
                <w:szCs w:val="20"/>
                <w:color w:val="auto"/>
              </w:rPr>
            </w:pPr>
            <w:r>
              <w:rPr>
                <w:rFonts w:ascii="Times New Roman" w:cs="Times New Roman" w:eastAsia="Times New Roman" w:hAnsi="Times New Roman"/>
                <w:sz w:val="13"/>
                <w:szCs w:val="13"/>
                <w:i w:val="1"/>
                <w:iCs w:val="1"/>
                <w:color w:val="auto"/>
              </w:rPr>
              <w:t>29.55%</w:t>
            </w:r>
          </w:p>
        </w:tc>
        <w:tc>
          <w:tcPr>
            <w:tcW w:w="7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i w:val="1"/>
                <w:iCs w:val="1"/>
                <w:color w:val="auto"/>
              </w:rPr>
              <w:t>14.82%</w:t>
            </w:r>
          </w:p>
        </w:tc>
        <w:tc>
          <w:tcPr>
            <w:tcW w:w="7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i w:val="1"/>
                <w:iCs w:val="1"/>
                <w:color w:val="auto"/>
              </w:rPr>
              <w:t>3.69%</w:t>
            </w:r>
          </w:p>
        </w:tc>
        <w:tc>
          <w:tcPr>
            <w:tcW w:w="8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i w:val="1"/>
                <w:iCs w:val="1"/>
                <w:color w:val="auto"/>
              </w:rPr>
              <w:t>7.79%</w:t>
            </w:r>
          </w:p>
        </w:tc>
        <w:tc>
          <w:tcPr>
            <w:tcW w:w="1100" w:type="dxa"/>
            <w:vAlign w:val="bottom"/>
            <w:shd w:val="clear" w:color="auto" w:fill="CCEEFF"/>
          </w:tcPr>
          <w:p>
            <w:pPr>
              <w:jc w:val="center"/>
              <w:ind w:right="193"/>
              <w:spacing w:after="0"/>
              <w:rPr>
                <w:sz w:val="20"/>
                <w:szCs w:val="20"/>
                <w:color w:val="auto"/>
              </w:rPr>
            </w:pPr>
            <w:r>
              <w:rPr>
                <w:rFonts w:ascii="Times New Roman" w:cs="Times New Roman" w:eastAsia="Times New Roman" w:hAnsi="Times New Roman"/>
                <w:sz w:val="13"/>
                <w:szCs w:val="13"/>
                <w:i w:val="1"/>
                <w:iCs w:val="1"/>
                <w:color w:val="auto"/>
              </w:rPr>
              <w:t>5.89%</w:t>
            </w:r>
          </w:p>
        </w:tc>
        <w:tc>
          <w:tcPr>
            <w:tcW w:w="1280" w:type="dxa"/>
            <w:vAlign w:val="bottom"/>
            <w:shd w:val="clear" w:color="auto" w:fill="CCEEFF"/>
          </w:tcPr>
          <w:p>
            <w:pPr>
              <w:spacing w:after="0"/>
              <w:rPr>
                <w:sz w:val="17"/>
                <w:szCs w:val="17"/>
                <w:color w:val="auto"/>
              </w:rPr>
            </w:pPr>
          </w:p>
        </w:tc>
      </w:tr>
      <w:tr>
        <w:trPr>
          <w:trHeight w:val="184"/>
        </w:trPr>
        <w:tc>
          <w:tcPr>
            <w:tcW w:w="362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Antero Peak Group</w:t>
            </w:r>
          </w:p>
        </w:tc>
        <w:tc>
          <w:tcPr>
            <w:tcW w:w="10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80" w:type="dxa"/>
            <w:vAlign w:val="bottom"/>
          </w:tcPr>
          <w:p>
            <w:pPr>
              <w:spacing w:after="0"/>
              <w:rPr>
                <w:sz w:val="15"/>
                <w:szCs w:val="15"/>
                <w:color w:val="auto"/>
              </w:rPr>
            </w:pPr>
          </w:p>
        </w:tc>
      </w:tr>
      <w:tr>
        <w:trPr>
          <w:trHeight w:val="194"/>
        </w:trPr>
        <w:tc>
          <w:tcPr>
            <w:tcW w:w="3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Antero Peak Strategy</w:t>
            </w:r>
          </w:p>
        </w:tc>
        <w:tc>
          <w:tcPr>
            <w:tcW w:w="1040" w:type="dxa"/>
            <w:vAlign w:val="bottom"/>
            <w:shd w:val="clear" w:color="auto" w:fill="CCEEFF"/>
          </w:tcPr>
          <w:p>
            <w:pPr>
              <w:jc w:val="right"/>
              <w:ind w:right="57"/>
              <w:spacing w:after="0"/>
              <w:rPr>
                <w:sz w:val="20"/>
                <w:szCs w:val="20"/>
                <w:color w:val="auto"/>
              </w:rPr>
            </w:pPr>
            <w:r>
              <w:rPr>
                <w:rFonts w:ascii="Times New Roman" w:cs="Times New Roman" w:eastAsia="Times New Roman" w:hAnsi="Times New Roman"/>
                <w:sz w:val="13"/>
                <w:szCs w:val="13"/>
                <w:color w:val="auto"/>
              </w:rPr>
              <w:t>5/1/2017</w:t>
            </w:r>
          </w:p>
        </w:tc>
        <w:tc>
          <w:tcPr>
            <w:tcW w:w="260" w:type="dxa"/>
            <w:vAlign w:val="bottom"/>
            <w:shd w:val="clear" w:color="auto" w:fill="CCEEFF"/>
          </w:tcPr>
          <w:p>
            <w:pPr>
              <w:jc w:val="right"/>
              <w:ind w:right="113"/>
              <w:spacing w:after="0"/>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2,129</w:t>
            </w:r>
          </w:p>
        </w:tc>
        <w:tc>
          <w:tcPr>
            <w:tcW w:w="900" w:type="dxa"/>
            <w:vAlign w:val="bottom"/>
            <w:shd w:val="clear" w:color="auto" w:fill="CCEEFF"/>
          </w:tcPr>
          <w:p>
            <w:pPr>
              <w:jc w:val="center"/>
              <w:ind w:left="13"/>
              <w:spacing w:after="0"/>
              <w:rPr>
                <w:sz w:val="20"/>
                <w:szCs w:val="20"/>
                <w:color w:val="auto"/>
              </w:rPr>
            </w:pPr>
            <w:r>
              <w:rPr>
                <w:rFonts w:ascii="Times New Roman" w:cs="Times New Roman" w:eastAsia="Times New Roman" w:hAnsi="Times New Roman"/>
                <w:sz w:val="13"/>
                <w:szCs w:val="13"/>
                <w:color w:val="auto"/>
              </w:rPr>
              <w:t>18.96%</w:t>
            </w:r>
          </w:p>
        </w:tc>
        <w:tc>
          <w:tcPr>
            <w:tcW w:w="7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20.54%</w:t>
            </w:r>
          </w:p>
        </w:tc>
        <w:tc>
          <w:tcPr>
            <w:tcW w:w="7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10.73%</w:t>
            </w:r>
          </w:p>
        </w:tc>
        <w:tc>
          <w:tcPr>
            <w:tcW w:w="8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w:t>
            </w:r>
          </w:p>
        </w:tc>
        <w:tc>
          <w:tcPr>
            <w:tcW w:w="1100" w:type="dxa"/>
            <w:vAlign w:val="bottom"/>
            <w:shd w:val="clear" w:color="auto" w:fill="CCEEFF"/>
          </w:tcPr>
          <w:p>
            <w:pPr>
              <w:jc w:val="center"/>
              <w:ind w:right="173"/>
              <w:spacing w:after="0"/>
              <w:rPr>
                <w:sz w:val="20"/>
                <w:szCs w:val="20"/>
                <w:color w:val="auto"/>
              </w:rPr>
            </w:pPr>
            <w:r>
              <w:rPr>
                <w:rFonts w:ascii="Times New Roman" w:cs="Times New Roman" w:eastAsia="Times New Roman" w:hAnsi="Times New Roman"/>
                <w:sz w:val="13"/>
                <w:szCs w:val="13"/>
                <w:color w:val="auto"/>
              </w:rPr>
              <w:t>17.88%</w:t>
            </w:r>
          </w:p>
        </w:tc>
        <w:tc>
          <w:tcPr>
            <w:tcW w:w="1280" w:type="dxa"/>
            <w:vAlign w:val="bottom"/>
            <w:shd w:val="clear" w:color="auto" w:fill="CCEEFF"/>
          </w:tcPr>
          <w:p>
            <w:pPr>
              <w:jc w:val="center"/>
              <w:ind w:right="13"/>
              <w:spacing w:after="0"/>
              <w:rPr>
                <w:sz w:val="20"/>
                <w:szCs w:val="20"/>
                <w:color w:val="auto"/>
              </w:rPr>
            </w:pPr>
            <w:r>
              <w:rPr>
                <w:rFonts w:ascii="Times New Roman" w:cs="Times New Roman" w:eastAsia="Times New Roman" w:hAnsi="Times New Roman"/>
                <w:sz w:val="13"/>
                <w:szCs w:val="13"/>
                <w:color w:val="auto"/>
              </w:rPr>
              <w:t>405</w:t>
            </w:r>
          </w:p>
        </w:tc>
      </w:tr>
      <w:tr>
        <w:trPr>
          <w:trHeight w:val="183"/>
        </w:trPr>
        <w:tc>
          <w:tcPr>
            <w:tcW w:w="3620" w:type="dxa"/>
            <w:vAlign w:val="bottom"/>
          </w:tcPr>
          <w:p>
            <w:pPr>
              <w:ind w:left="140"/>
              <w:spacing w:after="0"/>
              <w:rPr>
                <w:sz w:val="20"/>
                <w:szCs w:val="20"/>
                <w:color w:val="auto"/>
              </w:rPr>
            </w:pPr>
            <w:r>
              <w:rPr>
                <w:rFonts w:ascii="Times New Roman" w:cs="Times New Roman" w:eastAsia="Times New Roman" w:hAnsi="Times New Roman"/>
                <w:sz w:val="13"/>
                <w:szCs w:val="13"/>
                <w:i w:val="1"/>
                <w:iCs w:val="1"/>
                <w:color w:val="auto"/>
              </w:rPr>
              <w:t>S&amp;P 500 Index</w:t>
            </w:r>
          </w:p>
        </w:tc>
        <w:tc>
          <w:tcPr>
            <w:tcW w:w="10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00" w:type="dxa"/>
            <w:vAlign w:val="bottom"/>
          </w:tcPr>
          <w:p>
            <w:pPr>
              <w:jc w:val="center"/>
              <w:ind w:left="13"/>
              <w:spacing w:after="0"/>
              <w:rPr>
                <w:sz w:val="20"/>
                <w:szCs w:val="20"/>
                <w:color w:val="auto"/>
              </w:rPr>
            </w:pPr>
            <w:r>
              <w:rPr>
                <w:rFonts w:ascii="Times New Roman" w:cs="Times New Roman" w:eastAsia="Times New Roman" w:hAnsi="Times New Roman"/>
                <w:sz w:val="13"/>
                <w:szCs w:val="13"/>
                <w:i w:val="1"/>
                <w:iCs w:val="1"/>
                <w:color w:val="auto"/>
              </w:rPr>
              <w:t>17.80%</w:t>
            </w:r>
          </w:p>
        </w:tc>
        <w:tc>
          <w:tcPr>
            <w:tcW w:w="760" w:type="dxa"/>
            <w:vAlign w:val="bottom"/>
          </w:tcPr>
          <w:p>
            <w:pPr>
              <w:jc w:val="center"/>
              <w:spacing w:after="0"/>
              <w:rPr>
                <w:sz w:val="20"/>
                <w:szCs w:val="20"/>
                <w:color w:val="auto"/>
              </w:rPr>
            </w:pPr>
            <w:r>
              <w:rPr>
                <w:rFonts w:ascii="Times New Roman" w:cs="Times New Roman" w:eastAsia="Times New Roman" w:hAnsi="Times New Roman"/>
                <w:sz w:val="13"/>
                <w:szCs w:val="13"/>
                <w:i w:val="1"/>
                <w:iCs w:val="1"/>
                <w:color w:val="auto"/>
              </w:rPr>
              <w:t>18.30%</w:t>
            </w:r>
          </w:p>
        </w:tc>
        <w:tc>
          <w:tcPr>
            <w:tcW w:w="780" w:type="dxa"/>
            <w:vAlign w:val="bottom"/>
          </w:tcPr>
          <w:p>
            <w:pPr>
              <w:jc w:val="center"/>
              <w:spacing w:after="0"/>
              <w:rPr>
                <w:sz w:val="20"/>
                <w:szCs w:val="20"/>
                <w:color w:val="auto"/>
              </w:rPr>
            </w:pPr>
            <w:r>
              <w:rPr>
                <w:rFonts w:ascii="Times New Roman" w:cs="Times New Roman" w:eastAsia="Times New Roman" w:hAnsi="Times New Roman"/>
                <w:sz w:val="13"/>
                <w:szCs w:val="13"/>
                <w:i w:val="1"/>
                <w:iCs w:val="1"/>
                <w:color w:val="auto"/>
              </w:rPr>
              <w:t>12.06%</w:t>
            </w:r>
          </w:p>
        </w:tc>
        <w:tc>
          <w:tcPr>
            <w:tcW w:w="820" w:type="dxa"/>
            <w:vAlign w:val="bottom"/>
          </w:tcPr>
          <w:p>
            <w:pPr>
              <w:jc w:val="center"/>
              <w:spacing w:after="0"/>
              <w:rPr>
                <w:sz w:val="20"/>
                <w:szCs w:val="20"/>
                <w:color w:val="auto"/>
              </w:rPr>
            </w:pPr>
            <w:r>
              <w:rPr>
                <w:rFonts w:ascii="Times New Roman" w:cs="Times New Roman" w:eastAsia="Times New Roman" w:hAnsi="Times New Roman"/>
                <w:sz w:val="13"/>
                <w:szCs w:val="13"/>
                <w:i w:val="1"/>
                <w:iCs w:val="1"/>
                <w:color w:val="auto"/>
              </w:rPr>
              <w:t>---</w:t>
            </w:r>
          </w:p>
        </w:tc>
        <w:tc>
          <w:tcPr>
            <w:tcW w:w="1100" w:type="dxa"/>
            <w:vAlign w:val="bottom"/>
          </w:tcPr>
          <w:p>
            <w:pPr>
              <w:jc w:val="center"/>
              <w:ind w:right="173"/>
              <w:spacing w:after="0"/>
              <w:rPr>
                <w:sz w:val="20"/>
                <w:szCs w:val="20"/>
                <w:color w:val="auto"/>
              </w:rPr>
            </w:pPr>
            <w:r>
              <w:rPr>
                <w:rFonts w:ascii="Times New Roman" w:cs="Times New Roman" w:eastAsia="Times New Roman" w:hAnsi="Times New Roman"/>
                <w:sz w:val="13"/>
                <w:szCs w:val="13"/>
                <w:i w:val="1"/>
                <w:iCs w:val="1"/>
                <w:color w:val="auto"/>
              </w:rPr>
              <w:t>13.83%</w:t>
            </w:r>
          </w:p>
        </w:tc>
        <w:tc>
          <w:tcPr>
            <w:tcW w:w="1280" w:type="dxa"/>
            <w:vAlign w:val="bottom"/>
          </w:tcPr>
          <w:p>
            <w:pPr>
              <w:spacing w:after="0"/>
              <w:rPr>
                <w:sz w:val="15"/>
                <w:szCs w:val="15"/>
                <w:color w:val="auto"/>
              </w:rPr>
            </w:pPr>
          </w:p>
        </w:tc>
      </w:tr>
      <w:tr>
        <w:trPr>
          <w:trHeight w:val="195"/>
        </w:trPr>
        <w:tc>
          <w:tcPr>
            <w:tcW w:w="3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Antero Peak Hedge Strategy</w:t>
            </w:r>
          </w:p>
        </w:tc>
        <w:tc>
          <w:tcPr>
            <w:tcW w:w="1040" w:type="dxa"/>
            <w:vAlign w:val="bottom"/>
            <w:shd w:val="clear" w:color="auto" w:fill="CCEEFF"/>
          </w:tcPr>
          <w:p>
            <w:pPr>
              <w:jc w:val="right"/>
              <w:ind w:right="57"/>
              <w:spacing w:after="0"/>
              <w:rPr>
                <w:sz w:val="20"/>
                <w:szCs w:val="20"/>
                <w:color w:val="auto"/>
              </w:rPr>
            </w:pPr>
            <w:r>
              <w:rPr>
                <w:rFonts w:ascii="Times New Roman" w:cs="Times New Roman" w:eastAsia="Times New Roman" w:hAnsi="Times New Roman"/>
                <w:sz w:val="13"/>
                <w:szCs w:val="13"/>
                <w:color w:val="auto"/>
              </w:rPr>
              <w:t>11/1/2017</w:t>
            </w:r>
          </w:p>
        </w:tc>
        <w:tc>
          <w:tcPr>
            <w:tcW w:w="260" w:type="dxa"/>
            <w:vAlign w:val="bottom"/>
            <w:shd w:val="clear" w:color="auto" w:fill="CCEEFF"/>
          </w:tcPr>
          <w:p>
            <w:pPr>
              <w:jc w:val="right"/>
              <w:ind w:right="113"/>
              <w:spacing w:after="0"/>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217</w:t>
            </w:r>
          </w:p>
        </w:tc>
        <w:tc>
          <w:tcPr>
            <w:tcW w:w="900" w:type="dxa"/>
            <w:vAlign w:val="bottom"/>
            <w:shd w:val="clear" w:color="auto" w:fill="CCEEFF"/>
          </w:tcPr>
          <w:p>
            <w:pPr>
              <w:jc w:val="center"/>
              <w:ind w:left="13"/>
              <w:spacing w:after="0"/>
              <w:rPr>
                <w:sz w:val="20"/>
                <w:szCs w:val="20"/>
                <w:color w:val="auto"/>
              </w:rPr>
            </w:pPr>
            <w:r>
              <w:rPr>
                <w:rFonts w:ascii="Times New Roman" w:cs="Times New Roman" w:eastAsia="Times New Roman" w:hAnsi="Times New Roman"/>
                <w:sz w:val="13"/>
                <w:szCs w:val="13"/>
                <w:color w:val="auto"/>
              </w:rPr>
              <w:t>16.36%</w:t>
            </w:r>
          </w:p>
        </w:tc>
        <w:tc>
          <w:tcPr>
            <w:tcW w:w="7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18.32%</w:t>
            </w:r>
          </w:p>
        </w:tc>
        <w:tc>
          <w:tcPr>
            <w:tcW w:w="7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8.94%</w:t>
            </w:r>
          </w:p>
        </w:tc>
        <w:tc>
          <w:tcPr>
            <w:tcW w:w="8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w:t>
            </w:r>
          </w:p>
        </w:tc>
        <w:tc>
          <w:tcPr>
            <w:tcW w:w="1100" w:type="dxa"/>
            <w:vAlign w:val="bottom"/>
            <w:shd w:val="clear" w:color="auto" w:fill="CCEEFF"/>
          </w:tcPr>
          <w:p>
            <w:pPr>
              <w:jc w:val="center"/>
              <w:ind w:right="173"/>
              <w:spacing w:after="0"/>
              <w:rPr>
                <w:sz w:val="20"/>
                <w:szCs w:val="20"/>
                <w:color w:val="auto"/>
              </w:rPr>
            </w:pPr>
            <w:r>
              <w:rPr>
                <w:rFonts w:ascii="Times New Roman" w:cs="Times New Roman" w:eastAsia="Times New Roman" w:hAnsi="Times New Roman"/>
                <w:sz w:val="13"/>
                <w:szCs w:val="13"/>
                <w:color w:val="auto"/>
              </w:rPr>
              <w:t>12.95%</w:t>
            </w:r>
          </w:p>
        </w:tc>
        <w:tc>
          <w:tcPr>
            <w:tcW w:w="1280" w:type="dxa"/>
            <w:vAlign w:val="bottom"/>
            <w:shd w:val="clear" w:color="auto" w:fill="CCEEFF"/>
          </w:tcPr>
          <w:p>
            <w:pPr>
              <w:jc w:val="center"/>
              <w:ind w:right="33"/>
              <w:spacing w:after="0"/>
              <w:rPr>
                <w:sz w:val="20"/>
                <w:szCs w:val="20"/>
                <w:color w:val="auto"/>
              </w:rPr>
            </w:pPr>
            <w:r>
              <w:rPr>
                <w:rFonts w:ascii="Times New Roman" w:cs="Times New Roman" w:eastAsia="Times New Roman" w:hAnsi="Times New Roman"/>
                <w:sz w:val="13"/>
                <w:szCs w:val="13"/>
                <w:color w:val="auto"/>
              </w:rPr>
              <w:t>(58)</w:t>
            </w:r>
          </w:p>
        </w:tc>
      </w:tr>
      <w:tr>
        <w:trPr>
          <w:trHeight w:val="183"/>
        </w:trPr>
        <w:tc>
          <w:tcPr>
            <w:tcW w:w="3620" w:type="dxa"/>
            <w:vAlign w:val="bottom"/>
          </w:tcPr>
          <w:p>
            <w:pPr>
              <w:ind w:left="140"/>
              <w:spacing w:after="0"/>
              <w:rPr>
                <w:sz w:val="20"/>
                <w:szCs w:val="20"/>
                <w:color w:val="auto"/>
              </w:rPr>
            </w:pPr>
            <w:r>
              <w:rPr>
                <w:rFonts w:ascii="Times New Roman" w:cs="Times New Roman" w:eastAsia="Times New Roman" w:hAnsi="Times New Roman"/>
                <w:sz w:val="13"/>
                <w:szCs w:val="13"/>
                <w:i w:val="1"/>
                <w:iCs w:val="1"/>
                <w:color w:val="auto"/>
              </w:rPr>
              <w:t>S&amp;P 500 Index</w:t>
            </w:r>
          </w:p>
        </w:tc>
        <w:tc>
          <w:tcPr>
            <w:tcW w:w="10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00" w:type="dxa"/>
            <w:vAlign w:val="bottom"/>
          </w:tcPr>
          <w:p>
            <w:pPr>
              <w:jc w:val="center"/>
              <w:ind w:left="13"/>
              <w:spacing w:after="0"/>
              <w:rPr>
                <w:sz w:val="20"/>
                <w:szCs w:val="20"/>
                <w:color w:val="auto"/>
              </w:rPr>
            </w:pPr>
            <w:r>
              <w:rPr>
                <w:rFonts w:ascii="Times New Roman" w:cs="Times New Roman" w:eastAsia="Times New Roman" w:hAnsi="Times New Roman"/>
                <w:sz w:val="13"/>
                <w:szCs w:val="13"/>
                <w:i w:val="1"/>
                <w:iCs w:val="1"/>
                <w:color w:val="auto"/>
              </w:rPr>
              <w:t>17.80%</w:t>
            </w:r>
          </w:p>
        </w:tc>
        <w:tc>
          <w:tcPr>
            <w:tcW w:w="760" w:type="dxa"/>
            <w:vAlign w:val="bottom"/>
          </w:tcPr>
          <w:p>
            <w:pPr>
              <w:jc w:val="center"/>
              <w:spacing w:after="0"/>
              <w:rPr>
                <w:sz w:val="20"/>
                <w:szCs w:val="20"/>
                <w:color w:val="auto"/>
              </w:rPr>
            </w:pPr>
            <w:r>
              <w:rPr>
                <w:rFonts w:ascii="Times New Roman" w:cs="Times New Roman" w:eastAsia="Times New Roman" w:hAnsi="Times New Roman"/>
                <w:sz w:val="13"/>
                <w:szCs w:val="13"/>
                <w:i w:val="1"/>
                <w:iCs w:val="1"/>
                <w:color w:val="auto"/>
              </w:rPr>
              <w:t>18.30%</w:t>
            </w:r>
          </w:p>
        </w:tc>
        <w:tc>
          <w:tcPr>
            <w:tcW w:w="780" w:type="dxa"/>
            <w:vAlign w:val="bottom"/>
          </w:tcPr>
          <w:p>
            <w:pPr>
              <w:jc w:val="center"/>
              <w:spacing w:after="0"/>
              <w:rPr>
                <w:sz w:val="20"/>
                <w:szCs w:val="20"/>
                <w:color w:val="auto"/>
              </w:rPr>
            </w:pPr>
            <w:r>
              <w:rPr>
                <w:rFonts w:ascii="Times New Roman" w:cs="Times New Roman" w:eastAsia="Times New Roman" w:hAnsi="Times New Roman"/>
                <w:sz w:val="13"/>
                <w:szCs w:val="13"/>
                <w:i w:val="1"/>
                <w:iCs w:val="1"/>
                <w:color w:val="auto"/>
              </w:rPr>
              <w:t>12.06%</w:t>
            </w:r>
          </w:p>
        </w:tc>
        <w:tc>
          <w:tcPr>
            <w:tcW w:w="820" w:type="dxa"/>
            <w:vAlign w:val="bottom"/>
          </w:tcPr>
          <w:p>
            <w:pPr>
              <w:jc w:val="center"/>
              <w:spacing w:after="0"/>
              <w:rPr>
                <w:sz w:val="20"/>
                <w:szCs w:val="20"/>
                <w:color w:val="auto"/>
              </w:rPr>
            </w:pPr>
            <w:r>
              <w:rPr>
                <w:rFonts w:ascii="Times New Roman" w:cs="Times New Roman" w:eastAsia="Times New Roman" w:hAnsi="Times New Roman"/>
                <w:sz w:val="13"/>
                <w:szCs w:val="13"/>
                <w:i w:val="1"/>
                <w:iCs w:val="1"/>
                <w:color w:val="auto"/>
              </w:rPr>
              <w:t>---</w:t>
            </w:r>
          </w:p>
        </w:tc>
        <w:tc>
          <w:tcPr>
            <w:tcW w:w="1100" w:type="dxa"/>
            <w:vAlign w:val="bottom"/>
          </w:tcPr>
          <w:p>
            <w:pPr>
              <w:jc w:val="center"/>
              <w:ind w:right="173"/>
              <w:spacing w:after="0"/>
              <w:rPr>
                <w:sz w:val="20"/>
                <w:szCs w:val="20"/>
                <w:color w:val="auto"/>
              </w:rPr>
            </w:pPr>
            <w:r>
              <w:rPr>
                <w:rFonts w:ascii="Times New Roman" w:cs="Times New Roman" w:eastAsia="Times New Roman" w:hAnsi="Times New Roman"/>
                <w:sz w:val="13"/>
                <w:szCs w:val="13"/>
                <w:i w:val="1"/>
                <w:iCs w:val="1"/>
                <w:color w:val="auto"/>
              </w:rPr>
              <w:t>13.53%</w:t>
            </w:r>
          </w:p>
        </w:tc>
        <w:tc>
          <w:tcPr>
            <w:tcW w:w="1280" w:type="dxa"/>
            <w:vAlign w:val="bottom"/>
          </w:tcPr>
          <w:p>
            <w:pPr>
              <w:spacing w:after="0"/>
              <w:rPr>
                <w:sz w:val="15"/>
                <w:szCs w:val="15"/>
                <w:color w:val="auto"/>
              </w:rPr>
            </w:pPr>
          </w:p>
        </w:tc>
      </w:tr>
      <w:tr>
        <w:trPr>
          <w:trHeight w:val="195"/>
        </w:trPr>
        <w:tc>
          <w:tcPr>
            <w:tcW w:w="3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International Small-Mid Team</w:t>
            </w:r>
          </w:p>
        </w:tc>
        <w:tc>
          <w:tcPr>
            <w:tcW w:w="104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1280" w:type="dxa"/>
            <w:vAlign w:val="bottom"/>
            <w:shd w:val="clear" w:color="auto" w:fill="CCEEFF"/>
          </w:tcPr>
          <w:p>
            <w:pPr>
              <w:spacing w:after="0"/>
              <w:rPr>
                <w:sz w:val="16"/>
                <w:szCs w:val="16"/>
                <w:color w:val="auto"/>
              </w:rPr>
            </w:pPr>
          </w:p>
        </w:tc>
      </w:tr>
      <w:tr>
        <w:trPr>
          <w:trHeight w:val="182"/>
        </w:trPr>
        <w:tc>
          <w:tcPr>
            <w:tcW w:w="36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Non-U.S. Small-Mid Growth Strategy</w:t>
            </w:r>
          </w:p>
        </w:tc>
        <w:tc>
          <w:tcPr>
            <w:tcW w:w="104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1/1/2019</w:t>
            </w:r>
          </w:p>
        </w:tc>
        <w:tc>
          <w:tcPr>
            <w:tcW w:w="260" w:type="dxa"/>
            <w:vAlign w:val="bottom"/>
          </w:tcPr>
          <w:p>
            <w:pPr>
              <w:jc w:val="right"/>
              <w:ind w:right="113"/>
              <w:spacing w:after="0"/>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4,332</w:t>
            </w:r>
          </w:p>
        </w:tc>
        <w:tc>
          <w:tcPr>
            <w:tcW w:w="900" w:type="dxa"/>
            <w:vAlign w:val="bottom"/>
          </w:tcPr>
          <w:p>
            <w:pPr>
              <w:jc w:val="center"/>
              <w:ind w:left="13"/>
              <w:spacing w:after="0"/>
              <w:rPr>
                <w:sz w:val="20"/>
                <w:szCs w:val="20"/>
                <w:color w:val="auto"/>
              </w:rPr>
            </w:pPr>
            <w:r>
              <w:rPr>
                <w:rFonts w:ascii="Times New Roman" w:cs="Times New Roman" w:eastAsia="Times New Roman" w:hAnsi="Times New Roman"/>
                <w:sz w:val="13"/>
                <w:szCs w:val="13"/>
                <w:color w:val="auto"/>
              </w:rPr>
              <w:t>17.52%</w:t>
            </w:r>
          </w:p>
        </w:tc>
        <w:tc>
          <w:tcPr>
            <w:tcW w:w="76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6.77%</w:t>
            </w:r>
          </w:p>
        </w:tc>
        <w:tc>
          <w:tcPr>
            <w:tcW w:w="78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1.42%</w:t>
            </w:r>
          </w:p>
        </w:tc>
        <w:tc>
          <w:tcPr>
            <w:tcW w:w="82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w:t>
            </w:r>
          </w:p>
        </w:tc>
        <w:tc>
          <w:tcPr>
            <w:tcW w:w="1100" w:type="dxa"/>
            <w:vAlign w:val="bottom"/>
          </w:tcPr>
          <w:p>
            <w:pPr>
              <w:jc w:val="center"/>
              <w:ind w:right="193"/>
              <w:spacing w:after="0"/>
              <w:rPr>
                <w:sz w:val="20"/>
                <w:szCs w:val="20"/>
                <w:color w:val="auto"/>
              </w:rPr>
            </w:pPr>
            <w:r>
              <w:rPr>
                <w:rFonts w:ascii="Times New Roman" w:cs="Times New Roman" w:eastAsia="Times New Roman" w:hAnsi="Times New Roman"/>
                <w:sz w:val="13"/>
                <w:szCs w:val="13"/>
                <w:color w:val="auto"/>
              </w:rPr>
              <w:t>9.95%</w:t>
            </w:r>
          </w:p>
        </w:tc>
        <w:tc>
          <w:tcPr>
            <w:tcW w:w="1280" w:type="dxa"/>
            <w:vAlign w:val="bottom"/>
          </w:tcPr>
          <w:p>
            <w:pPr>
              <w:jc w:val="center"/>
              <w:ind w:right="33"/>
              <w:spacing w:after="0"/>
              <w:rPr>
                <w:sz w:val="20"/>
                <w:szCs w:val="20"/>
                <w:color w:val="auto"/>
              </w:rPr>
            </w:pPr>
            <w:r>
              <w:rPr>
                <w:rFonts w:ascii="Times New Roman" w:cs="Times New Roman" w:eastAsia="Times New Roman" w:hAnsi="Times New Roman"/>
                <w:sz w:val="13"/>
                <w:szCs w:val="13"/>
                <w:color w:val="auto"/>
              </w:rPr>
              <w:t>61</w:t>
            </w:r>
          </w:p>
        </w:tc>
      </w:tr>
      <w:tr>
        <w:trPr>
          <w:trHeight w:val="196"/>
        </w:trPr>
        <w:tc>
          <w:tcPr>
            <w:tcW w:w="36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i w:val="1"/>
                <w:iCs w:val="1"/>
                <w:color w:val="auto"/>
              </w:rPr>
              <w:t>MSCI All Country World Index Ex USA Small Mid Cap</w:t>
            </w:r>
          </w:p>
        </w:tc>
        <w:tc>
          <w:tcPr>
            <w:tcW w:w="10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900" w:type="dxa"/>
            <w:vAlign w:val="bottom"/>
            <w:shd w:val="clear" w:color="auto" w:fill="CCEEFF"/>
          </w:tcPr>
          <w:p>
            <w:pPr>
              <w:jc w:val="center"/>
              <w:ind w:left="13"/>
              <w:spacing w:after="0"/>
              <w:rPr>
                <w:sz w:val="20"/>
                <w:szCs w:val="20"/>
                <w:color w:val="auto"/>
              </w:rPr>
            </w:pPr>
            <w:r>
              <w:rPr>
                <w:rFonts w:ascii="Times New Roman" w:cs="Times New Roman" w:eastAsia="Times New Roman" w:hAnsi="Times New Roman"/>
                <w:sz w:val="13"/>
                <w:szCs w:val="13"/>
                <w:i w:val="1"/>
                <w:iCs w:val="1"/>
                <w:color w:val="auto"/>
              </w:rPr>
              <w:t>27.77%</w:t>
            </w:r>
          </w:p>
        </w:tc>
        <w:tc>
          <w:tcPr>
            <w:tcW w:w="7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i w:val="1"/>
                <w:iCs w:val="1"/>
                <w:color w:val="auto"/>
              </w:rPr>
              <w:t>14.17%</w:t>
            </w:r>
          </w:p>
        </w:tc>
        <w:tc>
          <w:tcPr>
            <w:tcW w:w="7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i w:val="1"/>
                <w:iCs w:val="1"/>
                <w:color w:val="auto"/>
              </w:rPr>
              <w:t>5.99%</w:t>
            </w:r>
          </w:p>
        </w:tc>
        <w:tc>
          <w:tcPr>
            <w:tcW w:w="8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i w:val="1"/>
                <w:iCs w:val="1"/>
                <w:color w:val="auto"/>
              </w:rPr>
              <w:t>---</w:t>
            </w:r>
          </w:p>
        </w:tc>
        <w:tc>
          <w:tcPr>
            <w:tcW w:w="1100" w:type="dxa"/>
            <w:vAlign w:val="bottom"/>
            <w:shd w:val="clear" w:color="auto" w:fill="CCEEFF"/>
          </w:tcPr>
          <w:p>
            <w:pPr>
              <w:jc w:val="center"/>
              <w:ind w:right="193"/>
              <w:spacing w:after="0"/>
              <w:rPr>
                <w:sz w:val="20"/>
                <w:szCs w:val="20"/>
                <w:color w:val="auto"/>
              </w:rPr>
            </w:pPr>
            <w:r>
              <w:rPr>
                <w:rFonts w:ascii="Times New Roman" w:cs="Times New Roman" w:eastAsia="Times New Roman" w:hAnsi="Times New Roman"/>
                <w:sz w:val="13"/>
                <w:szCs w:val="13"/>
                <w:i w:val="1"/>
                <w:iCs w:val="1"/>
                <w:color w:val="auto"/>
              </w:rPr>
              <w:t>9.34%</w:t>
            </w:r>
          </w:p>
        </w:tc>
        <w:tc>
          <w:tcPr>
            <w:tcW w:w="1280" w:type="dxa"/>
            <w:vAlign w:val="bottom"/>
            <w:shd w:val="clear" w:color="auto" w:fill="CCEEFF"/>
          </w:tcPr>
          <w:p>
            <w:pPr>
              <w:spacing w:after="0"/>
              <w:rPr>
                <w:sz w:val="17"/>
                <w:szCs w:val="17"/>
                <w:color w:val="auto"/>
              </w:rPr>
            </w:pPr>
          </w:p>
        </w:tc>
      </w:tr>
      <w:tr>
        <w:trPr>
          <w:trHeight w:val="184"/>
        </w:trPr>
        <w:tc>
          <w:tcPr>
            <w:tcW w:w="362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EMsights Capital Group</w:t>
            </w:r>
          </w:p>
        </w:tc>
        <w:tc>
          <w:tcPr>
            <w:tcW w:w="10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80" w:type="dxa"/>
            <w:vAlign w:val="bottom"/>
          </w:tcPr>
          <w:p>
            <w:pPr>
              <w:spacing w:after="0"/>
              <w:rPr>
                <w:sz w:val="15"/>
                <w:szCs w:val="15"/>
                <w:color w:val="auto"/>
              </w:rPr>
            </w:pPr>
          </w:p>
        </w:tc>
      </w:tr>
      <w:tr>
        <w:trPr>
          <w:trHeight w:val="194"/>
        </w:trPr>
        <w:tc>
          <w:tcPr>
            <w:tcW w:w="3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Global Unconstrained Strategy</w:t>
            </w:r>
          </w:p>
        </w:tc>
        <w:tc>
          <w:tcPr>
            <w:tcW w:w="1040" w:type="dxa"/>
            <w:vAlign w:val="bottom"/>
            <w:shd w:val="clear" w:color="auto" w:fill="CCEEFF"/>
          </w:tcPr>
          <w:p>
            <w:pPr>
              <w:jc w:val="right"/>
              <w:ind w:right="57"/>
              <w:spacing w:after="0"/>
              <w:rPr>
                <w:sz w:val="20"/>
                <w:szCs w:val="20"/>
                <w:color w:val="auto"/>
              </w:rPr>
            </w:pPr>
            <w:r>
              <w:rPr>
                <w:rFonts w:ascii="Times New Roman" w:cs="Times New Roman" w:eastAsia="Times New Roman" w:hAnsi="Times New Roman"/>
                <w:sz w:val="13"/>
                <w:szCs w:val="13"/>
                <w:color w:val="auto"/>
              </w:rPr>
              <w:t>4/1/2022</w:t>
            </w:r>
          </w:p>
        </w:tc>
        <w:tc>
          <w:tcPr>
            <w:tcW w:w="260" w:type="dxa"/>
            <w:vAlign w:val="bottom"/>
            <w:shd w:val="clear" w:color="auto" w:fill="CCEEFF"/>
          </w:tcPr>
          <w:p>
            <w:pPr>
              <w:jc w:val="right"/>
              <w:ind w:right="113"/>
              <w:spacing w:after="0"/>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1,523</w:t>
            </w:r>
          </w:p>
        </w:tc>
        <w:tc>
          <w:tcPr>
            <w:tcW w:w="900" w:type="dxa"/>
            <w:vAlign w:val="bottom"/>
            <w:shd w:val="clear" w:color="auto" w:fill="CCEEFF"/>
          </w:tcPr>
          <w:p>
            <w:pPr>
              <w:jc w:val="center"/>
              <w:ind w:left="13"/>
              <w:spacing w:after="0"/>
              <w:rPr>
                <w:sz w:val="20"/>
                <w:szCs w:val="20"/>
                <w:color w:val="auto"/>
              </w:rPr>
            </w:pPr>
            <w:r>
              <w:rPr>
                <w:rFonts w:ascii="Times New Roman" w:cs="Times New Roman" w:eastAsia="Times New Roman" w:hAnsi="Times New Roman"/>
                <w:sz w:val="13"/>
                <w:szCs w:val="13"/>
                <w:color w:val="auto"/>
              </w:rPr>
              <w:t>14.26%</w:t>
            </w:r>
          </w:p>
        </w:tc>
        <w:tc>
          <w:tcPr>
            <w:tcW w:w="7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11.84%</w:t>
            </w:r>
          </w:p>
        </w:tc>
        <w:tc>
          <w:tcPr>
            <w:tcW w:w="7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w:t>
            </w:r>
          </w:p>
        </w:tc>
        <w:tc>
          <w:tcPr>
            <w:tcW w:w="8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w:t>
            </w:r>
          </w:p>
        </w:tc>
        <w:tc>
          <w:tcPr>
            <w:tcW w:w="1100" w:type="dxa"/>
            <w:vAlign w:val="bottom"/>
            <w:shd w:val="clear" w:color="auto" w:fill="CCEEFF"/>
          </w:tcPr>
          <w:p>
            <w:pPr>
              <w:jc w:val="center"/>
              <w:ind w:right="193"/>
              <w:spacing w:after="0"/>
              <w:rPr>
                <w:sz w:val="20"/>
                <w:szCs w:val="20"/>
                <w:color w:val="auto"/>
              </w:rPr>
            </w:pPr>
            <w:r>
              <w:rPr>
                <w:rFonts w:ascii="Times New Roman" w:cs="Times New Roman" w:eastAsia="Times New Roman" w:hAnsi="Times New Roman"/>
                <w:sz w:val="13"/>
                <w:szCs w:val="13"/>
                <w:color w:val="auto"/>
                <w:w w:val="99"/>
              </w:rPr>
              <w:t>11.73%</w:t>
            </w:r>
          </w:p>
        </w:tc>
        <w:tc>
          <w:tcPr>
            <w:tcW w:w="1280" w:type="dxa"/>
            <w:vAlign w:val="bottom"/>
            <w:shd w:val="clear" w:color="auto" w:fill="CCEEFF"/>
          </w:tcPr>
          <w:p>
            <w:pPr>
              <w:jc w:val="center"/>
              <w:ind w:right="13"/>
              <w:spacing w:after="0"/>
              <w:rPr>
                <w:sz w:val="20"/>
                <w:szCs w:val="20"/>
                <w:color w:val="auto"/>
              </w:rPr>
            </w:pPr>
            <w:r>
              <w:rPr>
                <w:rFonts w:ascii="Times New Roman" w:cs="Times New Roman" w:eastAsia="Times New Roman" w:hAnsi="Times New Roman"/>
                <w:sz w:val="13"/>
                <w:szCs w:val="13"/>
                <w:color w:val="auto"/>
              </w:rPr>
              <w:t>756</w:t>
            </w:r>
          </w:p>
        </w:tc>
      </w:tr>
      <w:tr>
        <w:trPr>
          <w:trHeight w:val="183"/>
        </w:trPr>
        <w:tc>
          <w:tcPr>
            <w:tcW w:w="3620" w:type="dxa"/>
            <w:vAlign w:val="bottom"/>
          </w:tcPr>
          <w:p>
            <w:pPr>
              <w:ind w:left="140"/>
              <w:spacing w:after="0"/>
              <w:rPr>
                <w:sz w:val="20"/>
                <w:szCs w:val="20"/>
                <w:color w:val="auto"/>
              </w:rPr>
            </w:pPr>
            <w:r>
              <w:rPr>
                <w:rFonts w:ascii="Times New Roman" w:cs="Times New Roman" w:eastAsia="Times New Roman" w:hAnsi="Times New Roman"/>
                <w:sz w:val="13"/>
                <w:szCs w:val="13"/>
                <w:i w:val="1"/>
                <w:iCs w:val="1"/>
                <w:color w:val="auto"/>
              </w:rPr>
              <w:t>ICE BofA 3-month Treasury Bill Index</w:t>
            </w:r>
          </w:p>
        </w:tc>
        <w:tc>
          <w:tcPr>
            <w:tcW w:w="10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4.00%</w:t>
            </w:r>
          </w:p>
        </w:tc>
        <w:tc>
          <w:tcPr>
            <w:tcW w:w="76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4.73%</w:t>
            </w:r>
          </w:p>
        </w:tc>
        <w:tc>
          <w:tcPr>
            <w:tcW w:w="78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w:t>
            </w:r>
          </w:p>
        </w:tc>
        <w:tc>
          <w:tcPr>
            <w:tcW w:w="82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w:t>
            </w:r>
          </w:p>
        </w:tc>
        <w:tc>
          <w:tcPr>
            <w:tcW w:w="1100" w:type="dxa"/>
            <w:vAlign w:val="bottom"/>
          </w:tcPr>
          <w:p>
            <w:pPr>
              <w:jc w:val="center"/>
              <w:ind w:right="193"/>
              <w:spacing w:after="0"/>
              <w:rPr>
                <w:sz w:val="20"/>
                <w:szCs w:val="20"/>
                <w:color w:val="auto"/>
              </w:rPr>
            </w:pPr>
            <w:r>
              <w:rPr>
                <w:rFonts w:ascii="Times New Roman" w:cs="Times New Roman" w:eastAsia="Times New Roman" w:hAnsi="Times New Roman"/>
                <w:sz w:val="13"/>
                <w:szCs w:val="13"/>
                <w:i w:val="1"/>
                <w:iCs w:val="1"/>
                <w:color w:val="auto"/>
              </w:rPr>
              <w:t>4.17%</w:t>
            </w:r>
          </w:p>
        </w:tc>
        <w:tc>
          <w:tcPr>
            <w:tcW w:w="1280" w:type="dxa"/>
            <w:vAlign w:val="bottom"/>
          </w:tcPr>
          <w:p>
            <w:pPr>
              <w:spacing w:after="0"/>
              <w:rPr>
                <w:sz w:val="15"/>
                <w:szCs w:val="15"/>
                <w:color w:val="auto"/>
              </w:rPr>
            </w:pPr>
          </w:p>
        </w:tc>
      </w:tr>
      <w:tr>
        <w:trPr>
          <w:trHeight w:val="195"/>
        </w:trPr>
        <w:tc>
          <w:tcPr>
            <w:tcW w:w="3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Emerging Markets Debt Opportunities Strategy</w:t>
            </w:r>
          </w:p>
        </w:tc>
        <w:tc>
          <w:tcPr>
            <w:tcW w:w="1040" w:type="dxa"/>
            <w:vAlign w:val="bottom"/>
            <w:shd w:val="clear" w:color="auto" w:fill="CCEEFF"/>
          </w:tcPr>
          <w:p>
            <w:pPr>
              <w:jc w:val="right"/>
              <w:ind w:right="57"/>
              <w:spacing w:after="0"/>
              <w:rPr>
                <w:sz w:val="20"/>
                <w:szCs w:val="20"/>
                <w:color w:val="auto"/>
              </w:rPr>
            </w:pPr>
            <w:r>
              <w:rPr>
                <w:rFonts w:ascii="Times New Roman" w:cs="Times New Roman" w:eastAsia="Times New Roman" w:hAnsi="Times New Roman"/>
                <w:sz w:val="13"/>
                <w:szCs w:val="13"/>
                <w:color w:val="auto"/>
              </w:rPr>
              <w:t>5/1/2022</w:t>
            </w:r>
          </w:p>
        </w:tc>
        <w:tc>
          <w:tcPr>
            <w:tcW w:w="260" w:type="dxa"/>
            <w:vAlign w:val="bottom"/>
            <w:shd w:val="clear" w:color="auto" w:fill="CCEEFF"/>
          </w:tcPr>
          <w:p>
            <w:pPr>
              <w:jc w:val="right"/>
              <w:ind w:right="113"/>
              <w:spacing w:after="0"/>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1,402</w:t>
            </w:r>
          </w:p>
        </w:tc>
        <w:tc>
          <w:tcPr>
            <w:tcW w:w="900" w:type="dxa"/>
            <w:vAlign w:val="bottom"/>
            <w:shd w:val="clear" w:color="auto" w:fill="CCEEFF"/>
          </w:tcPr>
          <w:p>
            <w:pPr>
              <w:jc w:val="center"/>
              <w:ind w:left="13"/>
              <w:spacing w:after="0"/>
              <w:rPr>
                <w:sz w:val="20"/>
                <w:szCs w:val="20"/>
                <w:color w:val="auto"/>
              </w:rPr>
            </w:pPr>
            <w:r>
              <w:rPr>
                <w:rFonts w:ascii="Times New Roman" w:cs="Times New Roman" w:eastAsia="Times New Roman" w:hAnsi="Times New Roman"/>
                <w:sz w:val="13"/>
                <w:szCs w:val="13"/>
                <w:color w:val="auto"/>
              </w:rPr>
              <w:t>14.71%</w:t>
            </w:r>
          </w:p>
        </w:tc>
        <w:tc>
          <w:tcPr>
            <w:tcW w:w="7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13.08%</w:t>
            </w:r>
          </w:p>
        </w:tc>
        <w:tc>
          <w:tcPr>
            <w:tcW w:w="7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w:t>
            </w:r>
          </w:p>
        </w:tc>
        <w:tc>
          <w:tcPr>
            <w:tcW w:w="8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w:t>
            </w:r>
          </w:p>
        </w:tc>
        <w:tc>
          <w:tcPr>
            <w:tcW w:w="1100" w:type="dxa"/>
            <w:vAlign w:val="bottom"/>
            <w:shd w:val="clear" w:color="auto" w:fill="CCEEFF"/>
          </w:tcPr>
          <w:p>
            <w:pPr>
              <w:jc w:val="center"/>
              <w:ind w:right="173"/>
              <w:spacing w:after="0"/>
              <w:rPr>
                <w:sz w:val="20"/>
                <w:szCs w:val="20"/>
                <w:color w:val="auto"/>
              </w:rPr>
            </w:pPr>
            <w:r>
              <w:rPr>
                <w:rFonts w:ascii="Times New Roman" w:cs="Times New Roman" w:eastAsia="Times New Roman" w:hAnsi="Times New Roman"/>
                <w:sz w:val="13"/>
                <w:szCs w:val="13"/>
                <w:color w:val="auto"/>
              </w:rPr>
              <w:t>13.14%</w:t>
            </w:r>
          </w:p>
        </w:tc>
        <w:tc>
          <w:tcPr>
            <w:tcW w:w="1280" w:type="dxa"/>
            <w:vAlign w:val="bottom"/>
            <w:shd w:val="clear" w:color="auto" w:fill="CCEEFF"/>
          </w:tcPr>
          <w:p>
            <w:pPr>
              <w:jc w:val="center"/>
              <w:ind w:right="13"/>
              <w:spacing w:after="0"/>
              <w:rPr>
                <w:sz w:val="20"/>
                <w:szCs w:val="20"/>
                <w:color w:val="auto"/>
              </w:rPr>
            </w:pPr>
            <w:r>
              <w:rPr>
                <w:rFonts w:ascii="Times New Roman" w:cs="Times New Roman" w:eastAsia="Times New Roman" w:hAnsi="Times New Roman"/>
                <w:sz w:val="13"/>
                <w:szCs w:val="13"/>
                <w:color w:val="auto"/>
              </w:rPr>
              <w:t>659</w:t>
            </w:r>
          </w:p>
        </w:tc>
      </w:tr>
      <w:tr>
        <w:trPr>
          <w:trHeight w:val="183"/>
        </w:trPr>
        <w:tc>
          <w:tcPr>
            <w:tcW w:w="3620" w:type="dxa"/>
            <w:vAlign w:val="bottom"/>
          </w:tcPr>
          <w:p>
            <w:pPr>
              <w:ind w:left="140"/>
              <w:spacing w:after="0"/>
              <w:rPr>
                <w:sz w:val="20"/>
                <w:szCs w:val="20"/>
                <w:color w:val="auto"/>
              </w:rPr>
            </w:pPr>
            <w:r>
              <w:rPr>
                <w:rFonts w:ascii="Times New Roman" w:cs="Times New Roman" w:eastAsia="Times New Roman" w:hAnsi="Times New Roman"/>
                <w:sz w:val="13"/>
                <w:szCs w:val="13"/>
                <w:i w:val="1"/>
                <w:iCs w:val="1"/>
                <w:color w:val="auto"/>
              </w:rPr>
              <w:t>J.P. Morgan EMB Hard Currency/Local Currency 50-50</w:t>
            </w:r>
          </w:p>
        </w:tc>
        <w:tc>
          <w:tcPr>
            <w:tcW w:w="10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3"/>
                <w:szCs w:val="13"/>
                <w:i w:val="1"/>
                <w:iCs w:val="1"/>
                <w:color w:val="auto"/>
              </w:rPr>
              <w:t>9.98%</w:t>
            </w:r>
          </w:p>
        </w:tc>
        <w:tc>
          <w:tcPr>
            <w:tcW w:w="760" w:type="dxa"/>
            <w:vAlign w:val="bottom"/>
          </w:tcPr>
          <w:p>
            <w:pPr>
              <w:jc w:val="center"/>
              <w:spacing w:after="0"/>
              <w:rPr>
                <w:sz w:val="20"/>
                <w:szCs w:val="20"/>
                <w:color w:val="auto"/>
              </w:rPr>
            </w:pPr>
            <w:r>
              <w:rPr>
                <w:rFonts w:ascii="Times New Roman" w:cs="Times New Roman" w:eastAsia="Times New Roman" w:hAnsi="Times New Roman"/>
                <w:sz w:val="13"/>
                <w:szCs w:val="13"/>
                <w:i w:val="1"/>
                <w:iCs w:val="1"/>
                <w:color w:val="auto"/>
              </w:rPr>
              <w:t>7.72%</w:t>
            </w:r>
          </w:p>
        </w:tc>
        <w:tc>
          <w:tcPr>
            <w:tcW w:w="780" w:type="dxa"/>
            <w:vAlign w:val="bottom"/>
          </w:tcPr>
          <w:p>
            <w:pPr>
              <w:jc w:val="center"/>
              <w:spacing w:after="0"/>
              <w:rPr>
                <w:sz w:val="20"/>
                <w:szCs w:val="20"/>
                <w:color w:val="auto"/>
              </w:rPr>
            </w:pPr>
            <w:r>
              <w:rPr>
                <w:rFonts w:ascii="Times New Roman" w:cs="Times New Roman" w:eastAsia="Times New Roman" w:hAnsi="Times New Roman"/>
                <w:sz w:val="13"/>
                <w:szCs w:val="13"/>
                <w:i w:val="1"/>
                <w:iCs w:val="1"/>
                <w:color w:val="auto"/>
              </w:rPr>
              <w:t>---</w:t>
            </w:r>
          </w:p>
        </w:tc>
        <w:tc>
          <w:tcPr>
            <w:tcW w:w="820" w:type="dxa"/>
            <w:vAlign w:val="bottom"/>
          </w:tcPr>
          <w:p>
            <w:pPr>
              <w:jc w:val="center"/>
              <w:spacing w:after="0"/>
              <w:rPr>
                <w:sz w:val="20"/>
                <w:szCs w:val="20"/>
                <w:color w:val="auto"/>
              </w:rPr>
            </w:pPr>
            <w:r>
              <w:rPr>
                <w:rFonts w:ascii="Times New Roman" w:cs="Times New Roman" w:eastAsia="Times New Roman" w:hAnsi="Times New Roman"/>
                <w:sz w:val="13"/>
                <w:szCs w:val="13"/>
                <w:i w:val="1"/>
                <w:iCs w:val="1"/>
                <w:color w:val="auto"/>
              </w:rPr>
              <w:t>---</w:t>
            </w:r>
          </w:p>
        </w:tc>
        <w:tc>
          <w:tcPr>
            <w:tcW w:w="1100" w:type="dxa"/>
            <w:vAlign w:val="bottom"/>
          </w:tcPr>
          <w:p>
            <w:pPr>
              <w:jc w:val="center"/>
              <w:ind w:right="193"/>
              <w:spacing w:after="0"/>
              <w:rPr>
                <w:sz w:val="20"/>
                <w:szCs w:val="20"/>
                <w:color w:val="auto"/>
              </w:rPr>
            </w:pPr>
            <w:r>
              <w:rPr>
                <w:rFonts w:ascii="Times New Roman" w:cs="Times New Roman" w:eastAsia="Times New Roman" w:hAnsi="Times New Roman"/>
                <w:sz w:val="13"/>
                <w:szCs w:val="13"/>
                <w:i w:val="1"/>
                <w:iCs w:val="1"/>
                <w:color w:val="auto"/>
              </w:rPr>
              <w:t>6.55%</w:t>
            </w:r>
          </w:p>
        </w:tc>
        <w:tc>
          <w:tcPr>
            <w:tcW w:w="1280" w:type="dxa"/>
            <w:vAlign w:val="bottom"/>
          </w:tcPr>
          <w:p>
            <w:pPr>
              <w:spacing w:after="0"/>
              <w:rPr>
                <w:sz w:val="15"/>
                <w:szCs w:val="15"/>
                <w:color w:val="auto"/>
              </w:rPr>
            </w:pPr>
          </w:p>
        </w:tc>
      </w:tr>
      <w:tr>
        <w:trPr>
          <w:trHeight w:val="195"/>
        </w:trPr>
        <w:tc>
          <w:tcPr>
            <w:tcW w:w="3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Emerging Markets Local Opportunities Strategy</w:t>
            </w:r>
          </w:p>
        </w:tc>
        <w:tc>
          <w:tcPr>
            <w:tcW w:w="1040" w:type="dxa"/>
            <w:vAlign w:val="bottom"/>
            <w:shd w:val="clear" w:color="auto" w:fill="CCEEFF"/>
          </w:tcPr>
          <w:p>
            <w:pPr>
              <w:jc w:val="right"/>
              <w:ind w:right="57"/>
              <w:spacing w:after="0"/>
              <w:rPr>
                <w:sz w:val="20"/>
                <w:szCs w:val="20"/>
                <w:color w:val="auto"/>
              </w:rPr>
            </w:pPr>
            <w:r>
              <w:rPr>
                <w:rFonts w:ascii="Times New Roman" w:cs="Times New Roman" w:eastAsia="Times New Roman" w:hAnsi="Times New Roman"/>
                <w:sz w:val="13"/>
                <w:szCs w:val="13"/>
                <w:color w:val="auto"/>
              </w:rPr>
              <w:t>8/1/2022</w:t>
            </w:r>
          </w:p>
        </w:tc>
        <w:tc>
          <w:tcPr>
            <w:tcW w:w="260" w:type="dxa"/>
            <w:vAlign w:val="bottom"/>
            <w:shd w:val="clear" w:color="auto" w:fill="CCEEFF"/>
          </w:tcPr>
          <w:p>
            <w:pPr>
              <w:jc w:val="right"/>
              <w:ind w:right="113"/>
              <w:spacing w:after="0"/>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1,838</w:t>
            </w:r>
          </w:p>
        </w:tc>
        <w:tc>
          <w:tcPr>
            <w:tcW w:w="900" w:type="dxa"/>
            <w:vAlign w:val="bottom"/>
            <w:shd w:val="clear" w:color="auto" w:fill="CCEEFF"/>
          </w:tcPr>
          <w:p>
            <w:pPr>
              <w:jc w:val="center"/>
              <w:ind w:left="13"/>
              <w:spacing w:after="0"/>
              <w:rPr>
                <w:sz w:val="20"/>
                <w:szCs w:val="20"/>
                <w:color w:val="auto"/>
              </w:rPr>
            </w:pPr>
            <w:r>
              <w:rPr>
                <w:rFonts w:ascii="Times New Roman" w:cs="Times New Roman" w:eastAsia="Times New Roman" w:hAnsi="Times New Roman"/>
                <w:sz w:val="13"/>
                <w:szCs w:val="13"/>
                <w:color w:val="auto"/>
              </w:rPr>
              <w:t>17.80%</w:t>
            </w:r>
          </w:p>
        </w:tc>
        <w:tc>
          <w:tcPr>
            <w:tcW w:w="7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10.79%</w:t>
            </w:r>
          </w:p>
        </w:tc>
        <w:tc>
          <w:tcPr>
            <w:tcW w:w="7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w:t>
            </w:r>
          </w:p>
        </w:tc>
        <w:tc>
          <w:tcPr>
            <w:tcW w:w="8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w:t>
            </w:r>
          </w:p>
        </w:tc>
        <w:tc>
          <w:tcPr>
            <w:tcW w:w="1100" w:type="dxa"/>
            <w:vAlign w:val="bottom"/>
            <w:shd w:val="clear" w:color="auto" w:fill="CCEEFF"/>
          </w:tcPr>
          <w:p>
            <w:pPr>
              <w:jc w:val="center"/>
              <w:ind w:right="193"/>
              <w:spacing w:after="0"/>
              <w:rPr>
                <w:sz w:val="20"/>
                <w:szCs w:val="20"/>
                <w:color w:val="auto"/>
              </w:rPr>
            </w:pPr>
            <w:r>
              <w:rPr>
                <w:rFonts w:ascii="Times New Roman" w:cs="Times New Roman" w:eastAsia="Times New Roman" w:hAnsi="Times New Roman"/>
                <w:sz w:val="13"/>
                <w:szCs w:val="13"/>
                <w:color w:val="auto"/>
                <w:w w:val="99"/>
              </w:rPr>
              <w:t>11.85%</w:t>
            </w:r>
          </w:p>
        </w:tc>
        <w:tc>
          <w:tcPr>
            <w:tcW w:w="1280" w:type="dxa"/>
            <w:vAlign w:val="bottom"/>
            <w:shd w:val="clear" w:color="auto" w:fill="CCEEFF"/>
          </w:tcPr>
          <w:p>
            <w:pPr>
              <w:jc w:val="center"/>
              <w:ind w:right="13"/>
              <w:spacing w:after="0"/>
              <w:rPr>
                <w:sz w:val="20"/>
                <w:szCs w:val="20"/>
                <w:color w:val="auto"/>
              </w:rPr>
            </w:pPr>
            <w:r>
              <w:rPr>
                <w:rFonts w:ascii="Times New Roman" w:cs="Times New Roman" w:eastAsia="Times New Roman" w:hAnsi="Times New Roman"/>
                <w:sz w:val="13"/>
                <w:szCs w:val="13"/>
                <w:color w:val="auto"/>
              </w:rPr>
              <w:t>396</w:t>
            </w:r>
          </w:p>
        </w:tc>
      </w:tr>
      <w:tr>
        <w:trPr>
          <w:trHeight w:val="183"/>
        </w:trPr>
        <w:tc>
          <w:tcPr>
            <w:tcW w:w="3620" w:type="dxa"/>
            <w:vAlign w:val="bottom"/>
          </w:tcPr>
          <w:p>
            <w:pPr>
              <w:ind w:left="140"/>
              <w:spacing w:after="0"/>
              <w:rPr>
                <w:sz w:val="20"/>
                <w:szCs w:val="20"/>
                <w:color w:val="auto"/>
              </w:rPr>
            </w:pPr>
            <w:r>
              <w:rPr>
                <w:rFonts w:ascii="Times New Roman" w:cs="Times New Roman" w:eastAsia="Times New Roman" w:hAnsi="Times New Roman"/>
                <w:sz w:val="13"/>
                <w:szCs w:val="13"/>
                <w:i w:val="1"/>
                <w:iCs w:val="1"/>
                <w:color w:val="auto"/>
              </w:rPr>
              <w:t>J.P. Morgan GBI-EM Global Diversified Index</w:t>
            </w:r>
          </w:p>
        </w:tc>
        <w:tc>
          <w:tcPr>
            <w:tcW w:w="10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3"/>
                <w:szCs w:val="13"/>
                <w:i w:val="1"/>
                <w:iCs w:val="1"/>
                <w:color w:val="auto"/>
                <w:w w:val="99"/>
              </w:rPr>
              <w:t>11.76%</w:t>
            </w:r>
          </w:p>
        </w:tc>
        <w:tc>
          <w:tcPr>
            <w:tcW w:w="760" w:type="dxa"/>
            <w:vAlign w:val="bottom"/>
          </w:tcPr>
          <w:p>
            <w:pPr>
              <w:jc w:val="center"/>
              <w:spacing w:after="0"/>
              <w:rPr>
                <w:sz w:val="20"/>
                <w:szCs w:val="20"/>
                <w:color w:val="auto"/>
              </w:rPr>
            </w:pPr>
            <w:r>
              <w:rPr>
                <w:rFonts w:ascii="Times New Roman" w:cs="Times New Roman" w:eastAsia="Times New Roman" w:hAnsi="Times New Roman"/>
                <w:sz w:val="13"/>
                <w:szCs w:val="13"/>
                <w:i w:val="1"/>
                <w:iCs w:val="1"/>
                <w:color w:val="auto"/>
              </w:rPr>
              <w:t>6.84%</w:t>
            </w:r>
          </w:p>
        </w:tc>
        <w:tc>
          <w:tcPr>
            <w:tcW w:w="780" w:type="dxa"/>
            <w:vAlign w:val="bottom"/>
          </w:tcPr>
          <w:p>
            <w:pPr>
              <w:jc w:val="center"/>
              <w:spacing w:after="0"/>
              <w:rPr>
                <w:sz w:val="20"/>
                <w:szCs w:val="20"/>
                <w:color w:val="auto"/>
              </w:rPr>
            </w:pPr>
            <w:r>
              <w:rPr>
                <w:rFonts w:ascii="Times New Roman" w:cs="Times New Roman" w:eastAsia="Times New Roman" w:hAnsi="Times New Roman"/>
                <w:sz w:val="13"/>
                <w:szCs w:val="13"/>
                <w:i w:val="1"/>
                <w:iCs w:val="1"/>
                <w:color w:val="auto"/>
              </w:rPr>
              <w:t>---</w:t>
            </w:r>
          </w:p>
        </w:tc>
        <w:tc>
          <w:tcPr>
            <w:tcW w:w="820" w:type="dxa"/>
            <w:vAlign w:val="bottom"/>
          </w:tcPr>
          <w:p>
            <w:pPr>
              <w:jc w:val="center"/>
              <w:spacing w:after="0"/>
              <w:rPr>
                <w:sz w:val="20"/>
                <w:szCs w:val="20"/>
                <w:color w:val="auto"/>
              </w:rPr>
            </w:pPr>
            <w:r>
              <w:rPr>
                <w:rFonts w:ascii="Times New Roman" w:cs="Times New Roman" w:eastAsia="Times New Roman" w:hAnsi="Times New Roman"/>
                <w:sz w:val="13"/>
                <w:szCs w:val="13"/>
                <w:i w:val="1"/>
                <w:iCs w:val="1"/>
                <w:color w:val="auto"/>
              </w:rPr>
              <w:t>---</w:t>
            </w:r>
          </w:p>
        </w:tc>
        <w:tc>
          <w:tcPr>
            <w:tcW w:w="1100" w:type="dxa"/>
            <w:vAlign w:val="bottom"/>
          </w:tcPr>
          <w:p>
            <w:pPr>
              <w:jc w:val="center"/>
              <w:ind w:right="193"/>
              <w:spacing w:after="0"/>
              <w:rPr>
                <w:sz w:val="20"/>
                <w:szCs w:val="20"/>
                <w:color w:val="auto"/>
              </w:rPr>
            </w:pPr>
            <w:r>
              <w:rPr>
                <w:rFonts w:ascii="Times New Roman" w:cs="Times New Roman" w:eastAsia="Times New Roman" w:hAnsi="Times New Roman"/>
                <w:sz w:val="13"/>
                <w:szCs w:val="13"/>
                <w:i w:val="1"/>
                <w:iCs w:val="1"/>
                <w:color w:val="auto"/>
              </w:rPr>
              <w:t>7.89%</w:t>
            </w:r>
          </w:p>
        </w:tc>
        <w:tc>
          <w:tcPr>
            <w:tcW w:w="1280" w:type="dxa"/>
            <w:vAlign w:val="bottom"/>
          </w:tcPr>
          <w:p>
            <w:pPr>
              <w:spacing w:after="0"/>
              <w:rPr>
                <w:sz w:val="15"/>
                <w:szCs w:val="15"/>
                <w:color w:val="auto"/>
              </w:rPr>
            </w:pPr>
          </w:p>
        </w:tc>
      </w:tr>
      <w:tr>
        <w:trPr>
          <w:trHeight w:val="195"/>
        </w:trPr>
        <w:tc>
          <w:tcPr>
            <w:tcW w:w="3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 xml:space="preserve">Grandview Property Partners </w:t>
            </w:r>
            <w:r>
              <w:rPr>
                <w:rFonts w:ascii="Times New Roman" w:cs="Times New Roman" w:eastAsia="Times New Roman" w:hAnsi="Times New Roman"/>
                <w:sz w:val="17"/>
                <w:szCs w:val="17"/>
                <w:b w:val="1"/>
                <w:bCs w:val="1"/>
                <w:color w:val="auto"/>
                <w:vertAlign w:val="superscript"/>
              </w:rPr>
              <w:t>(5)</w:t>
            </w:r>
          </w:p>
        </w:tc>
        <w:tc>
          <w:tcPr>
            <w:tcW w:w="104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1280" w:type="dxa"/>
            <w:vAlign w:val="bottom"/>
            <w:shd w:val="clear" w:color="auto" w:fill="CCEEFF"/>
          </w:tcPr>
          <w:p>
            <w:pPr>
              <w:spacing w:after="0"/>
              <w:rPr>
                <w:sz w:val="16"/>
                <w:szCs w:val="16"/>
                <w:color w:val="auto"/>
              </w:rPr>
            </w:pPr>
          </w:p>
        </w:tc>
      </w:tr>
      <w:tr>
        <w:trPr>
          <w:trHeight w:val="175"/>
        </w:trPr>
        <w:tc>
          <w:tcPr>
            <w:tcW w:w="36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Grandview Property Partners</w:t>
            </w:r>
          </w:p>
        </w:tc>
        <w:tc>
          <w:tcPr>
            <w:tcW w:w="104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tcPr>
          <w:p>
            <w:pPr>
              <w:jc w:val="right"/>
              <w:ind w:right="113"/>
              <w:spacing w:after="0"/>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899</w:t>
            </w:r>
          </w:p>
        </w:tc>
        <w:tc>
          <w:tcPr>
            <w:tcW w:w="900" w:type="dxa"/>
            <w:vAlign w:val="bottom"/>
          </w:tcPr>
          <w:p>
            <w:pPr>
              <w:jc w:val="center"/>
              <w:ind w:left="13"/>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w:t>
            </w:r>
          </w:p>
        </w:tc>
        <w:tc>
          <w:tcPr>
            <w:tcW w:w="82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w:t>
            </w:r>
          </w:p>
        </w:tc>
        <w:tc>
          <w:tcPr>
            <w:tcW w:w="1100" w:type="dxa"/>
            <w:vAlign w:val="bottom"/>
          </w:tcPr>
          <w:p>
            <w:pPr>
              <w:jc w:val="center"/>
              <w:ind w:right="193"/>
              <w:spacing w:after="0"/>
              <w:rPr>
                <w:sz w:val="20"/>
                <w:szCs w:val="20"/>
                <w:color w:val="auto"/>
              </w:rPr>
            </w:pPr>
            <w:r>
              <w:rPr>
                <w:rFonts w:ascii="Times New Roman" w:cs="Times New Roman" w:eastAsia="Times New Roman" w:hAnsi="Times New Roman"/>
                <w:sz w:val="13"/>
                <w:szCs w:val="13"/>
                <w:color w:val="auto"/>
                <w:w w:val="92"/>
              </w:rPr>
              <w:t>---</w:t>
            </w:r>
          </w:p>
        </w:tc>
        <w:tc>
          <w:tcPr>
            <w:tcW w:w="1280" w:type="dxa"/>
            <w:vAlign w:val="bottom"/>
          </w:tcPr>
          <w:p>
            <w:pPr>
              <w:jc w:val="center"/>
              <w:ind w:right="33"/>
              <w:spacing w:after="0"/>
              <w:rPr>
                <w:sz w:val="20"/>
                <w:szCs w:val="20"/>
                <w:color w:val="auto"/>
              </w:rPr>
            </w:pPr>
            <w:r>
              <w:rPr>
                <w:rFonts w:ascii="Times New Roman" w:cs="Times New Roman" w:eastAsia="Times New Roman" w:hAnsi="Times New Roman"/>
                <w:sz w:val="13"/>
                <w:szCs w:val="13"/>
                <w:color w:val="auto"/>
              </w:rPr>
              <w:t>---</w:t>
            </w:r>
          </w:p>
        </w:tc>
      </w:tr>
      <w:tr>
        <w:trPr>
          <w:trHeight w:val="68"/>
        </w:trPr>
        <w:tc>
          <w:tcPr>
            <w:tcW w:w="3620" w:type="dxa"/>
            <w:vAlign w:val="bottom"/>
          </w:tcPr>
          <w:p>
            <w:pPr>
              <w:spacing w:after="0"/>
              <w:rPr>
                <w:sz w:val="5"/>
                <w:szCs w:val="5"/>
                <w:color w:val="auto"/>
              </w:rPr>
            </w:pPr>
          </w:p>
        </w:tc>
        <w:tc>
          <w:tcPr>
            <w:tcW w:w="1040" w:type="dxa"/>
            <w:vAlign w:val="bottom"/>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680" w:type="dxa"/>
            <w:vAlign w:val="bottom"/>
            <w:tcBorders>
              <w:bottom w:val="single" w:sz="8" w:color="auto"/>
            </w:tcBorders>
          </w:tcPr>
          <w:p>
            <w:pPr>
              <w:spacing w:after="0"/>
              <w:rPr>
                <w:sz w:val="5"/>
                <w:szCs w:val="5"/>
                <w:color w:val="auto"/>
              </w:rPr>
            </w:pPr>
          </w:p>
        </w:tc>
        <w:tc>
          <w:tcPr>
            <w:tcW w:w="900" w:type="dxa"/>
            <w:vAlign w:val="bottom"/>
          </w:tcPr>
          <w:p>
            <w:pPr>
              <w:spacing w:after="0"/>
              <w:rPr>
                <w:sz w:val="5"/>
                <w:szCs w:val="5"/>
                <w:color w:val="auto"/>
              </w:rPr>
            </w:pPr>
          </w:p>
        </w:tc>
        <w:tc>
          <w:tcPr>
            <w:tcW w:w="760" w:type="dxa"/>
            <w:vAlign w:val="bottom"/>
          </w:tcPr>
          <w:p>
            <w:pPr>
              <w:spacing w:after="0"/>
              <w:rPr>
                <w:sz w:val="5"/>
                <w:szCs w:val="5"/>
                <w:color w:val="auto"/>
              </w:rPr>
            </w:pPr>
          </w:p>
        </w:tc>
        <w:tc>
          <w:tcPr>
            <w:tcW w:w="78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00" w:type="dxa"/>
            <w:vAlign w:val="bottom"/>
          </w:tcPr>
          <w:p>
            <w:pPr>
              <w:spacing w:after="0"/>
              <w:rPr>
                <w:sz w:val="5"/>
                <w:szCs w:val="5"/>
                <w:color w:val="auto"/>
              </w:rPr>
            </w:pPr>
          </w:p>
        </w:tc>
        <w:tc>
          <w:tcPr>
            <w:tcW w:w="1280" w:type="dxa"/>
            <w:vAlign w:val="bottom"/>
          </w:tcPr>
          <w:p>
            <w:pPr>
              <w:spacing w:after="0"/>
              <w:rPr>
                <w:sz w:val="5"/>
                <w:szCs w:val="5"/>
                <w:color w:val="auto"/>
              </w:rPr>
            </w:pPr>
          </w:p>
        </w:tc>
      </w:tr>
      <w:tr>
        <w:trPr>
          <w:trHeight w:val="183"/>
        </w:trPr>
        <w:tc>
          <w:tcPr>
            <w:tcW w:w="362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Total Assets Under Management</w:t>
            </w:r>
          </w:p>
        </w:tc>
        <w:tc>
          <w:tcPr>
            <w:tcW w:w="1040" w:type="dxa"/>
            <w:vAlign w:val="bottom"/>
          </w:tcPr>
          <w:p>
            <w:pPr>
              <w:spacing w:after="0"/>
              <w:rPr>
                <w:sz w:val="15"/>
                <w:szCs w:val="15"/>
                <w:color w:val="auto"/>
              </w:rPr>
            </w:pPr>
          </w:p>
        </w:tc>
        <w:tc>
          <w:tcPr>
            <w:tcW w:w="260" w:type="dxa"/>
            <w:vAlign w:val="bottom"/>
            <w:tcBorders>
              <w:bottom w:val="single" w:sz="8" w:color="auto"/>
            </w:tcBorders>
          </w:tcPr>
          <w:p>
            <w:pPr>
              <w:jc w:val="right"/>
              <w:ind w:right="113"/>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172,981</w:t>
            </w:r>
          </w:p>
        </w:tc>
        <w:tc>
          <w:tcPr>
            <w:tcW w:w="9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80" w:type="dxa"/>
            <w:vAlign w:val="bottom"/>
          </w:tcPr>
          <w:p>
            <w:pPr>
              <w:spacing w:after="0"/>
              <w:rPr>
                <w:sz w:val="15"/>
                <w:szCs w:val="15"/>
                <w:color w:val="auto"/>
              </w:rPr>
            </w:pPr>
          </w:p>
        </w:tc>
      </w:tr>
      <w:tr>
        <w:trPr>
          <w:trHeight w:val="20"/>
        </w:trPr>
        <w:tc>
          <w:tcPr>
            <w:tcW w:w="36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r>
    </w:tbl>
    <w:p>
      <w:pPr>
        <w:spacing w:after="0" w:line="65" w:lineRule="exact"/>
        <w:rPr>
          <w:sz w:val="20"/>
          <w:szCs w:val="20"/>
          <w:color w:val="auto"/>
        </w:rPr>
      </w:pPr>
    </w:p>
    <w:p>
      <w:pPr>
        <w:ind w:left="160" w:hanging="134"/>
        <w:spacing w:after="0"/>
        <w:tabs>
          <w:tab w:leader="none" w:pos="160" w:val="left"/>
        </w:tabs>
        <w:numPr>
          <w:ilvl w:val="0"/>
          <w:numId w:val="20"/>
        </w:numPr>
        <w:rPr>
          <w:rFonts w:ascii="Times New Roman" w:cs="Times New Roman" w:eastAsia="Times New Roman" w:hAnsi="Times New Roman"/>
          <w:sz w:val="17"/>
          <w:szCs w:val="17"/>
          <w:color w:val="auto"/>
          <w:vertAlign w:val="superscript"/>
        </w:rPr>
      </w:pPr>
      <w:r>
        <w:rPr>
          <w:rFonts w:ascii="Times New Roman" w:cs="Times New Roman" w:eastAsia="Times New Roman" w:hAnsi="Times New Roman"/>
          <w:sz w:val="13"/>
          <w:szCs w:val="13"/>
          <w:color w:val="auto"/>
        </w:rPr>
        <w:t>AUM includes $313.9 million in the aggregate for which Artisan Partners provides model portfolios to managed account sponsors (generally reported on a lag not exceeding one quarter).</w:t>
      </w:r>
    </w:p>
    <w:p>
      <w:pPr>
        <w:spacing w:after="0" w:line="68" w:lineRule="exact"/>
        <w:rPr>
          <w:rFonts w:ascii="Times New Roman" w:cs="Times New Roman" w:eastAsia="Times New Roman" w:hAnsi="Times New Roman"/>
          <w:sz w:val="17"/>
          <w:szCs w:val="17"/>
          <w:color w:val="auto"/>
          <w:vertAlign w:val="superscript"/>
        </w:rPr>
      </w:pPr>
    </w:p>
    <w:p>
      <w:pPr>
        <w:ind w:left="20" w:right="140" w:firstLine="6"/>
        <w:spacing w:after="0" w:line="261" w:lineRule="auto"/>
        <w:tabs>
          <w:tab w:leader="none" w:pos="165" w:val="left"/>
        </w:tabs>
        <w:numPr>
          <w:ilvl w:val="0"/>
          <w:numId w:val="20"/>
        </w:numPr>
        <w:rPr>
          <w:rFonts w:ascii="Times New Roman" w:cs="Times New Roman" w:eastAsia="Times New Roman" w:hAnsi="Times New Roman"/>
          <w:sz w:val="17"/>
          <w:szCs w:val="17"/>
          <w:color w:val="auto"/>
          <w:vertAlign w:val="superscript"/>
        </w:rPr>
      </w:pPr>
      <w:r>
        <w:rPr>
          <w:rFonts w:ascii="Times New Roman" w:cs="Times New Roman" w:eastAsia="Times New Roman" w:hAnsi="Times New Roman"/>
          <w:sz w:val="13"/>
          <w:szCs w:val="13"/>
          <w:color w:val="auto"/>
        </w:rPr>
        <w:t>We measure investment performance based upon the results of our “composites”, which represent the aggregate performance of all discretionary client accounts, including pooled investment vehicles, invested in the same strategy except those accounts with respect to which we believe client-imposed restrictions may have a material impact on portfolio construction and those accounts managed in a currency other than U.S. dollars (the results of these accounts, which represented approximately 18% of our assets under management at March 31, 2026, are maintained in separate composites, which are not presented in these materials). Returns for periods less than one year are not annualized.</w:t>
      </w:r>
    </w:p>
    <w:p>
      <w:pPr>
        <w:spacing w:after="0" w:line="15" w:lineRule="exact"/>
        <w:rPr>
          <w:rFonts w:ascii="Times New Roman" w:cs="Times New Roman" w:eastAsia="Times New Roman" w:hAnsi="Times New Roman"/>
          <w:sz w:val="17"/>
          <w:szCs w:val="17"/>
          <w:color w:val="auto"/>
          <w:vertAlign w:val="superscript"/>
        </w:rPr>
      </w:pPr>
    </w:p>
    <w:p>
      <w:pPr>
        <w:ind w:left="20" w:right="60" w:firstLine="6"/>
        <w:spacing w:after="0" w:line="261" w:lineRule="auto"/>
        <w:tabs>
          <w:tab w:leader="none" w:pos="165" w:val="left"/>
        </w:tabs>
        <w:numPr>
          <w:ilvl w:val="0"/>
          <w:numId w:val="20"/>
        </w:numPr>
        <w:rPr>
          <w:rFonts w:ascii="Times New Roman" w:cs="Times New Roman" w:eastAsia="Times New Roman" w:hAnsi="Times New Roman"/>
          <w:sz w:val="17"/>
          <w:szCs w:val="17"/>
          <w:color w:val="auto"/>
          <w:vertAlign w:val="superscript"/>
        </w:rPr>
      </w:pPr>
      <w:r>
        <w:rPr>
          <w:rFonts w:ascii="Times New Roman" w:cs="Times New Roman" w:eastAsia="Times New Roman" w:hAnsi="Times New Roman"/>
          <w:sz w:val="13"/>
          <w:szCs w:val="13"/>
          <w:color w:val="auto"/>
        </w:rPr>
        <w:t>Value-added is the amount, in basis points, by which the average annual gross composite return of each of our strategies has outperformed or underperformed its respective benchmark. The benchmark used is generally the market index most commonly used by our clients to compare the performance of the relevant strategy. For certain strategies that are managed for absolute return, the benchmark used is the index used by the Company’s management to evaluate the performance of the strategy. Value-added for periods less than one year is not annualized.</w:t>
      </w:r>
    </w:p>
    <w:p>
      <w:pPr>
        <w:spacing w:after="0" w:line="42" w:lineRule="exact"/>
        <w:rPr>
          <w:rFonts w:ascii="Times New Roman" w:cs="Times New Roman" w:eastAsia="Times New Roman" w:hAnsi="Times New Roman"/>
          <w:sz w:val="17"/>
          <w:szCs w:val="17"/>
          <w:color w:val="auto"/>
          <w:vertAlign w:val="superscript"/>
        </w:rPr>
      </w:pPr>
    </w:p>
    <w:p>
      <w:pPr>
        <w:ind w:left="20" w:right="200" w:firstLine="6"/>
        <w:spacing w:after="0" w:line="289" w:lineRule="auto"/>
        <w:tabs>
          <w:tab w:leader="none" w:pos="152" w:val="left"/>
        </w:tabs>
        <w:numPr>
          <w:ilvl w:val="0"/>
          <w:numId w:val="20"/>
        </w:numPr>
        <w:rPr>
          <w:rFonts w:ascii="Times New Roman" w:cs="Times New Roman" w:eastAsia="Times New Roman" w:hAnsi="Times New Roman"/>
          <w:sz w:val="16"/>
          <w:szCs w:val="16"/>
          <w:color w:val="auto"/>
          <w:vertAlign w:val="superscript"/>
        </w:rPr>
      </w:pPr>
      <w:r>
        <w:rPr>
          <w:rFonts w:ascii="Times New Roman" w:cs="Times New Roman" w:eastAsia="Times New Roman" w:hAnsi="Times New Roman"/>
          <w:sz w:val="12"/>
          <w:szCs w:val="12"/>
          <w:color w:val="auto"/>
        </w:rPr>
        <w:t>Custom Credit Solutions represents assets managed by the Credit team within custom, investor-driven mandates for which there is no combined performance track record. A portion of these assets under management was previously reported under the High Income strategy.</w:t>
      </w:r>
    </w:p>
    <w:p>
      <w:pPr>
        <w:ind w:left="180" w:hanging="154"/>
        <w:spacing w:after="0"/>
        <w:tabs>
          <w:tab w:leader="none" w:pos="180" w:val="left"/>
        </w:tabs>
        <w:numPr>
          <w:ilvl w:val="0"/>
          <w:numId w:val="20"/>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Grandview Property Partners’ AUM reflects assets managed across Grandview’s flagship fund and co-investment program. Performance information for the Grandview Funds is not reported.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tables below set forth changes in our AUM by investment team:</w:t>
      </w:r>
    </w:p>
    <w:p>
      <w:pPr>
        <w:spacing w:after="0" w:line="35" w:lineRule="exact"/>
        <w:rPr>
          <w:sz w:val="20"/>
          <w:szCs w:val="20"/>
          <w:color w:val="auto"/>
        </w:rPr>
      </w:pPr>
    </w:p>
    <w:p>
      <w:pPr>
        <w:ind w:left="5760"/>
        <w:spacing w:after="0"/>
        <w:rPr>
          <w:sz w:val="20"/>
          <w:szCs w:val="20"/>
          <w:color w:val="auto"/>
        </w:rPr>
      </w:pPr>
      <w:r>
        <w:rPr>
          <w:rFonts w:ascii="Times New Roman" w:cs="Times New Roman" w:eastAsia="Times New Roman" w:hAnsi="Times New Roman"/>
          <w:sz w:val="14"/>
          <w:szCs w:val="14"/>
          <w:b w:val="1"/>
          <w:bCs w:val="1"/>
          <w:color w:val="auto"/>
        </w:rPr>
        <w:t>By Investment Team</w:t>
      </w: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154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40" w:type="dxa"/>
            <w:vAlign w:val="bottom"/>
            <w:tcBorders>
              <w:top w:val="single" w:sz="8" w:color="auto"/>
            </w:tcBorders>
          </w:tcPr>
          <w:p>
            <w:pPr>
              <w:spacing w:after="0"/>
              <w:rPr>
                <w:sz w:val="16"/>
                <w:szCs w:val="16"/>
                <w:color w:val="auto"/>
              </w:rPr>
            </w:pPr>
          </w:p>
        </w:tc>
        <w:tc>
          <w:tcPr>
            <w:tcW w:w="600" w:type="dxa"/>
            <w:vAlign w:val="bottom"/>
            <w:tcBorders>
              <w:top w:val="single" w:sz="8" w:color="auto"/>
            </w:tcBorders>
            <w:vMerge w:val="restart"/>
          </w:tcPr>
          <w:p>
            <w:pPr>
              <w:jc w:val="right"/>
              <w:ind w:right="109"/>
              <w:spacing w:after="0"/>
              <w:rPr>
                <w:sz w:val="20"/>
                <w:szCs w:val="20"/>
                <w:color w:val="auto"/>
              </w:rPr>
            </w:pPr>
            <w:r>
              <w:rPr>
                <w:rFonts w:ascii="Times New Roman" w:cs="Times New Roman" w:eastAsia="Times New Roman" w:hAnsi="Times New Roman"/>
                <w:sz w:val="12"/>
                <w:szCs w:val="12"/>
                <w:b w:val="1"/>
                <w:bCs w:val="1"/>
                <w:color w:val="auto"/>
                <w:w w:val="99"/>
              </w:rPr>
              <w:t>Growth</w:t>
            </w:r>
          </w:p>
        </w:tc>
        <w:tc>
          <w:tcPr>
            <w:tcW w:w="740" w:type="dxa"/>
            <w:vAlign w:val="bottom"/>
            <w:tcBorders>
              <w:top w:val="single" w:sz="8" w:color="auto"/>
            </w:tcBorders>
            <w:gridSpan w:val="2"/>
            <w:vMerge w:val="restart"/>
          </w:tcPr>
          <w:p>
            <w:pPr>
              <w:ind w:left="20"/>
              <w:spacing w:after="0"/>
              <w:rPr>
                <w:sz w:val="20"/>
                <w:szCs w:val="20"/>
                <w:color w:val="auto"/>
              </w:rPr>
            </w:pPr>
            <w:r>
              <w:rPr>
                <w:rFonts w:ascii="Times New Roman" w:cs="Times New Roman" w:eastAsia="Times New Roman" w:hAnsi="Times New Roman"/>
                <w:sz w:val="12"/>
                <w:szCs w:val="12"/>
                <w:b w:val="1"/>
                <w:bCs w:val="1"/>
                <w:color w:val="auto"/>
                <w:w w:val="96"/>
              </w:rPr>
              <w:t>Global Equity</w:t>
            </w:r>
          </w:p>
        </w:tc>
        <w:tc>
          <w:tcPr>
            <w:tcW w:w="80" w:type="dxa"/>
            <w:vAlign w:val="bottom"/>
            <w:tcBorders>
              <w:top w:val="single" w:sz="8" w:color="auto"/>
            </w:tcBorders>
          </w:tcPr>
          <w:p>
            <w:pPr>
              <w:spacing w:after="0"/>
              <w:rPr>
                <w:sz w:val="16"/>
                <w:szCs w:val="16"/>
                <w:color w:val="auto"/>
              </w:rPr>
            </w:pPr>
          </w:p>
        </w:tc>
        <w:tc>
          <w:tcPr>
            <w:tcW w:w="620" w:type="dxa"/>
            <w:vAlign w:val="bottom"/>
            <w:tcBorders>
              <w:top w:val="single" w:sz="8" w:color="auto"/>
            </w:tcBorders>
            <w:vMerge w:val="restart"/>
          </w:tcPr>
          <w:p>
            <w:pPr>
              <w:jc w:val="right"/>
              <w:ind w:right="29"/>
              <w:spacing w:after="0"/>
              <w:rPr>
                <w:sz w:val="20"/>
                <w:szCs w:val="20"/>
                <w:color w:val="auto"/>
              </w:rPr>
            </w:pPr>
            <w:r>
              <w:rPr>
                <w:rFonts w:ascii="Times New Roman" w:cs="Times New Roman" w:eastAsia="Times New Roman" w:hAnsi="Times New Roman"/>
                <w:sz w:val="12"/>
                <w:szCs w:val="12"/>
                <w:b w:val="1"/>
                <w:bCs w:val="1"/>
                <w:color w:val="auto"/>
                <w:w w:val="91"/>
              </w:rPr>
              <w:t>U.S. Value</w:t>
            </w:r>
          </w:p>
        </w:tc>
        <w:tc>
          <w:tcPr>
            <w:tcW w:w="100" w:type="dxa"/>
            <w:vAlign w:val="bottom"/>
            <w:tcBorders>
              <w:top w:val="single" w:sz="8" w:color="auto"/>
            </w:tcBorders>
          </w:tcPr>
          <w:p>
            <w:pPr>
              <w:spacing w:after="0"/>
              <w:rPr>
                <w:sz w:val="16"/>
                <w:szCs w:val="16"/>
                <w:color w:val="auto"/>
              </w:rPr>
            </w:pPr>
          </w:p>
        </w:tc>
        <w:tc>
          <w:tcPr>
            <w:tcW w:w="620" w:type="dxa"/>
            <w:vAlign w:val="bottom"/>
            <w:tcBorders>
              <w:top w:val="single" w:sz="8" w:color="auto"/>
            </w:tcBorders>
          </w:tcPr>
          <w:p>
            <w:pPr>
              <w:jc w:val="right"/>
              <w:ind w:right="9"/>
              <w:spacing w:after="0"/>
              <w:rPr>
                <w:sz w:val="20"/>
                <w:szCs w:val="20"/>
                <w:color w:val="auto"/>
              </w:rPr>
            </w:pPr>
            <w:r>
              <w:rPr>
                <w:rFonts w:ascii="Times New Roman" w:cs="Times New Roman" w:eastAsia="Times New Roman" w:hAnsi="Times New Roman"/>
                <w:sz w:val="12"/>
                <w:szCs w:val="12"/>
                <w:b w:val="1"/>
                <w:bCs w:val="1"/>
                <w:color w:val="auto"/>
                <w:w w:val="91"/>
              </w:rPr>
              <w:t>Int</w:t>
            </w:r>
            <w:r>
              <w:rPr>
                <w:rFonts w:ascii="Times New Roman" w:cs="Times New Roman" w:eastAsia="Times New Roman" w:hAnsi="Times New Roman"/>
                <w:sz w:val="16"/>
                <w:szCs w:val="16"/>
                <w:b w:val="1"/>
                <w:bCs w:val="1"/>
                <w:color w:val="auto"/>
                <w:w w:val="91"/>
              </w:rPr>
              <w:t>’</w:t>
            </w:r>
            <w:r>
              <w:rPr>
                <w:rFonts w:ascii="Times New Roman" w:cs="Times New Roman" w:eastAsia="Times New Roman" w:hAnsi="Times New Roman"/>
                <w:sz w:val="12"/>
                <w:szCs w:val="12"/>
                <w:b w:val="1"/>
                <w:bCs w:val="1"/>
                <w:color w:val="auto"/>
                <w:w w:val="91"/>
              </w:rPr>
              <w:t>l Value</w:t>
            </w:r>
          </w:p>
        </w:tc>
        <w:tc>
          <w:tcPr>
            <w:tcW w:w="740" w:type="dxa"/>
            <w:vAlign w:val="bottom"/>
            <w:tcBorders>
              <w:top w:val="single" w:sz="8" w:color="auto"/>
            </w:tcBorders>
            <w:gridSpan w:val="2"/>
            <w:vMerge w:val="restart"/>
          </w:tcPr>
          <w:p>
            <w:pPr>
              <w:jc w:val="right"/>
              <w:spacing w:after="0"/>
              <w:rPr>
                <w:sz w:val="20"/>
                <w:szCs w:val="20"/>
                <w:color w:val="auto"/>
              </w:rPr>
            </w:pPr>
            <w:r>
              <w:rPr>
                <w:rFonts w:ascii="Times New Roman" w:cs="Times New Roman" w:eastAsia="Times New Roman" w:hAnsi="Times New Roman"/>
                <w:sz w:val="12"/>
                <w:szCs w:val="12"/>
                <w:b w:val="1"/>
                <w:bCs w:val="1"/>
                <w:color w:val="auto"/>
              </w:rPr>
              <w:t>Global Value</w:t>
            </w:r>
          </w:p>
        </w:tc>
        <w:tc>
          <w:tcPr>
            <w:tcW w:w="160" w:type="dxa"/>
            <w:vAlign w:val="bottom"/>
            <w:tcBorders>
              <w:top w:val="single" w:sz="8" w:color="auto"/>
            </w:tcBorders>
          </w:tcPr>
          <w:p>
            <w:pPr>
              <w:spacing w:after="0"/>
              <w:rPr>
                <w:sz w:val="16"/>
                <w:szCs w:val="16"/>
                <w:color w:val="auto"/>
              </w:rPr>
            </w:pPr>
          </w:p>
        </w:tc>
        <w:tc>
          <w:tcPr>
            <w:tcW w:w="540" w:type="dxa"/>
            <w:vAlign w:val="bottom"/>
            <w:tcBorders>
              <w:top w:val="single" w:sz="8" w:color="auto"/>
            </w:tcBorders>
            <w:vMerge w:val="restart"/>
          </w:tcPr>
          <w:p>
            <w:pPr>
              <w:jc w:val="right"/>
              <w:ind w:right="149"/>
              <w:spacing w:after="0"/>
              <w:rPr>
                <w:sz w:val="20"/>
                <w:szCs w:val="20"/>
                <w:color w:val="auto"/>
              </w:rPr>
            </w:pPr>
            <w:r>
              <w:rPr>
                <w:rFonts w:ascii="Times New Roman" w:cs="Times New Roman" w:eastAsia="Times New Roman" w:hAnsi="Times New Roman"/>
                <w:sz w:val="12"/>
                <w:szCs w:val="12"/>
                <w:b w:val="1"/>
                <w:bCs w:val="1"/>
                <w:color w:val="auto"/>
              </w:rPr>
              <w:t>SEM</w:t>
            </w:r>
          </w:p>
        </w:tc>
        <w:tc>
          <w:tcPr>
            <w:tcW w:w="140" w:type="dxa"/>
            <w:vAlign w:val="bottom"/>
            <w:tcBorders>
              <w:top w:val="single" w:sz="8" w:color="auto"/>
            </w:tcBorders>
          </w:tcPr>
          <w:p>
            <w:pPr>
              <w:spacing w:after="0"/>
              <w:rPr>
                <w:sz w:val="16"/>
                <w:szCs w:val="16"/>
                <w:color w:val="auto"/>
              </w:rPr>
            </w:pPr>
          </w:p>
        </w:tc>
        <w:tc>
          <w:tcPr>
            <w:tcW w:w="580" w:type="dxa"/>
            <w:vAlign w:val="bottom"/>
            <w:tcBorders>
              <w:top w:val="single" w:sz="8" w:color="auto"/>
            </w:tcBorders>
            <w:vMerge w:val="restart"/>
          </w:tcPr>
          <w:p>
            <w:pPr>
              <w:ind w:left="60"/>
              <w:spacing w:after="0"/>
              <w:rPr>
                <w:sz w:val="20"/>
                <w:szCs w:val="20"/>
                <w:color w:val="auto"/>
              </w:rPr>
            </w:pPr>
            <w:r>
              <w:rPr>
                <w:rFonts w:ascii="Times New Roman" w:cs="Times New Roman" w:eastAsia="Times New Roman" w:hAnsi="Times New Roman"/>
                <w:sz w:val="12"/>
                <w:szCs w:val="12"/>
                <w:b w:val="1"/>
                <w:bCs w:val="1"/>
                <w:color w:val="auto"/>
              </w:rPr>
              <w:t>Credit</w:t>
            </w:r>
          </w:p>
        </w:tc>
        <w:tc>
          <w:tcPr>
            <w:tcW w:w="140" w:type="dxa"/>
            <w:vAlign w:val="bottom"/>
            <w:tcBorders>
              <w:top w:val="single" w:sz="8" w:color="auto"/>
            </w:tcBorders>
          </w:tcPr>
          <w:p>
            <w:pPr>
              <w:spacing w:after="0"/>
              <w:rPr>
                <w:sz w:val="16"/>
                <w:szCs w:val="16"/>
                <w:color w:val="auto"/>
              </w:rPr>
            </w:pPr>
          </w:p>
        </w:tc>
        <w:tc>
          <w:tcPr>
            <w:tcW w:w="760" w:type="dxa"/>
            <w:vAlign w:val="bottom"/>
            <w:tcBorders>
              <w:top w:val="single" w:sz="8" w:color="auto"/>
            </w:tcBorders>
          </w:tcPr>
          <w:p>
            <w:pPr>
              <w:jc w:val="right"/>
              <w:ind w:right="89"/>
              <w:spacing w:after="0"/>
              <w:rPr>
                <w:sz w:val="20"/>
                <w:szCs w:val="20"/>
                <w:color w:val="auto"/>
              </w:rPr>
            </w:pPr>
            <w:r>
              <w:rPr>
                <w:rFonts w:ascii="Times New Roman" w:cs="Times New Roman" w:eastAsia="Times New Roman" w:hAnsi="Times New Roman"/>
                <w:sz w:val="12"/>
                <w:szCs w:val="12"/>
                <w:b w:val="1"/>
                <w:bCs w:val="1"/>
                <w:color w:val="auto"/>
              </w:rPr>
              <w:t>Developing</w:t>
            </w:r>
          </w:p>
        </w:tc>
        <w:tc>
          <w:tcPr>
            <w:tcW w:w="70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2"/>
                <w:szCs w:val="12"/>
                <w:b w:val="1"/>
                <w:bCs w:val="1"/>
                <w:color w:val="auto"/>
                <w:w w:val="99"/>
              </w:rPr>
              <w:t>Antero Peak</w:t>
            </w:r>
          </w:p>
        </w:tc>
        <w:tc>
          <w:tcPr>
            <w:tcW w:w="70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2"/>
                <w:szCs w:val="12"/>
                <w:b w:val="1"/>
                <w:bCs w:val="1"/>
                <w:color w:val="auto"/>
              </w:rPr>
              <w:t>Int</w:t>
            </w: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12"/>
                <w:szCs w:val="12"/>
                <w:b w:val="1"/>
                <w:bCs w:val="1"/>
                <w:color w:val="auto"/>
              </w:rPr>
              <w:t>l Small-</w:t>
            </w:r>
          </w:p>
        </w:tc>
        <w:tc>
          <w:tcPr>
            <w:tcW w:w="120" w:type="dxa"/>
            <w:vAlign w:val="bottom"/>
            <w:tcBorders>
              <w:top w:val="single" w:sz="8" w:color="auto"/>
            </w:tcBorders>
          </w:tcPr>
          <w:p>
            <w:pPr>
              <w:spacing w:after="0"/>
              <w:rPr>
                <w:sz w:val="16"/>
                <w:szCs w:val="16"/>
                <w:color w:val="auto"/>
              </w:rPr>
            </w:pPr>
          </w:p>
        </w:tc>
        <w:tc>
          <w:tcPr>
            <w:tcW w:w="660" w:type="dxa"/>
            <w:vAlign w:val="bottom"/>
            <w:tcBorders>
              <w:top w:val="single" w:sz="8" w:color="auto"/>
            </w:tcBorders>
          </w:tcPr>
          <w:p>
            <w:pPr>
              <w:jc w:val="right"/>
              <w:ind w:right="69"/>
              <w:spacing w:after="0"/>
              <w:rPr>
                <w:sz w:val="20"/>
                <w:szCs w:val="20"/>
                <w:color w:val="auto"/>
              </w:rPr>
            </w:pPr>
            <w:r>
              <w:rPr>
                <w:rFonts w:ascii="Times New Roman" w:cs="Times New Roman" w:eastAsia="Times New Roman" w:hAnsi="Times New Roman"/>
                <w:sz w:val="12"/>
                <w:szCs w:val="12"/>
                <w:b w:val="1"/>
                <w:bCs w:val="1"/>
                <w:color w:val="auto"/>
              </w:rPr>
              <w:t>EMsights</w:t>
            </w:r>
          </w:p>
        </w:tc>
        <w:tc>
          <w:tcPr>
            <w:tcW w:w="100" w:type="dxa"/>
            <w:vAlign w:val="bottom"/>
            <w:tcBorders>
              <w:top w:val="single" w:sz="8" w:color="auto"/>
            </w:tcBorders>
          </w:tcPr>
          <w:p>
            <w:pPr>
              <w:spacing w:after="0"/>
              <w:rPr>
                <w:sz w:val="16"/>
                <w:szCs w:val="16"/>
                <w:color w:val="auto"/>
              </w:rPr>
            </w:pPr>
          </w:p>
        </w:tc>
        <w:tc>
          <w:tcPr>
            <w:tcW w:w="62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2"/>
                <w:szCs w:val="12"/>
                <w:b w:val="1"/>
                <w:bCs w:val="1"/>
                <w:color w:val="auto"/>
                <w:w w:val="94"/>
              </w:rPr>
              <w:t>Grandview</w:t>
            </w:r>
          </w:p>
        </w:tc>
        <w:tc>
          <w:tcPr>
            <w:tcW w:w="220" w:type="dxa"/>
            <w:vAlign w:val="bottom"/>
            <w:tcBorders>
              <w:top w:val="single" w:sz="8" w:color="auto"/>
            </w:tcBorders>
          </w:tcPr>
          <w:p>
            <w:pPr>
              <w:spacing w:after="0"/>
              <w:rPr>
                <w:sz w:val="16"/>
                <w:szCs w:val="16"/>
                <w:color w:val="auto"/>
              </w:rPr>
            </w:pPr>
          </w:p>
        </w:tc>
        <w:tc>
          <w:tcPr>
            <w:tcW w:w="620" w:type="dxa"/>
            <w:vAlign w:val="bottom"/>
            <w:tcBorders>
              <w:top w:val="single" w:sz="8" w:color="auto"/>
            </w:tcBorders>
            <w:vMerge w:val="restart"/>
          </w:tcPr>
          <w:p>
            <w:pPr>
              <w:jc w:val="right"/>
              <w:ind w:right="209"/>
              <w:spacing w:after="0"/>
              <w:rPr>
                <w:sz w:val="20"/>
                <w:szCs w:val="20"/>
                <w:color w:val="auto"/>
              </w:rPr>
            </w:pPr>
            <w:r>
              <w:rPr>
                <w:rFonts w:ascii="Times New Roman" w:cs="Times New Roman" w:eastAsia="Times New Roman" w:hAnsi="Times New Roman"/>
                <w:sz w:val="12"/>
                <w:szCs w:val="12"/>
                <w:b w:val="1"/>
                <w:bCs w:val="1"/>
                <w:color w:val="auto"/>
              </w:rPr>
              <w:t>Total</w:t>
            </w:r>
          </w:p>
        </w:tc>
        <w:tc>
          <w:tcPr>
            <w:tcW w:w="0" w:type="dxa"/>
            <w:vAlign w:val="bottom"/>
          </w:tcPr>
          <w:p>
            <w:pPr>
              <w:spacing w:after="0"/>
              <w:rPr>
                <w:sz w:val="1"/>
                <w:szCs w:val="1"/>
                <w:color w:val="auto"/>
              </w:rPr>
            </w:pPr>
          </w:p>
        </w:tc>
      </w:tr>
      <w:tr>
        <w:trPr>
          <w:trHeight w:val="159"/>
        </w:trPr>
        <w:tc>
          <w:tcPr>
            <w:tcW w:w="1540" w:type="dxa"/>
            <w:vAlign w:val="bottom"/>
            <w:tcBorders>
              <w:bottom w:val="single" w:sz="8" w:color="CCEEFF"/>
            </w:tcBorders>
            <w:vMerge w:val="continue"/>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vMerge w:val="continue"/>
          </w:tcPr>
          <w:p>
            <w:pPr>
              <w:spacing w:after="0"/>
              <w:rPr>
                <w:sz w:val="13"/>
                <w:szCs w:val="13"/>
                <w:color w:val="auto"/>
              </w:rPr>
            </w:pPr>
          </w:p>
        </w:tc>
        <w:tc>
          <w:tcPr>
            <w:tcW w:w="740" w:type="dxa"/>
            <w:vAlign w:val="bottom"/>
            <w:tcBorders>
              <w:bottom w:val="single" w:sz="8" w:color="auto"/>
            </w:tcBorders>
            <w:gridSpan w:val="2"/>
            <w:vMerge w:val="continue"/>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vMerge w:val="continue"/>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jc w:val="right"/>
              <w:ind w:right="129"/>
              <w:spacing w:after="0"/>
              <w:rPr>
                <w:sz w:val="20"/>
                <w:szCs w:val="20"/>
                <w:color w:val="auto"/>
              </w:rPr>
            </w:pPr>
            <w:r>
              <w:rPr>
                <w:rFonts w:ascii="Times New Roman" w:cs="Times New Roman" w:eastAsia="Times New Roman" w:hAnsi="Times New Roman"/>
                <w:sz w:val="12"/>
                <w:szCs w:val="12"/>
                <w:b w:val="1"/>
                <w:bCs w:val="1"/>
                <w:color w:val="auto"/>
              </w:rPr>
              <w:t>Group</w:t>
            </w:r>
          </w:p>
        </w:tc>
        <w:tc>
          <w:tcPr>
            <w:tcW w:w="740" w:type="dxa"/>
            <w:vAlign w:val="bottom"/>
            <w:tcBorders>
              <w:bottom w:val="single" w:sz="8" w:color="auto"/>
            </w:tcBorders>
            <w:gridSpan w:val="2"/>
            <w:vMerge w:val="continue"/>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vMerge w:val="continue"/>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vMerge w:val="continue"/>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ind w:right="209"/>
              <w:spacing w:after="0"/>
              <w:rPr>
                <w:sz w:val="20"/>
                <w:szCs w:val="20"/>
                <w:color w:val="auto"/>
              </w:rPr>
            </w:pPr>
            <w:r>
              <w:rPr>
                <w:rFonts w:ascii="Times New Roman" w:cs="Times New Roman" w:eastAsia="Times New Roman" w:hAnsi="Times New Roman"/>
                <w:sz w:val="12"/>
                <w:szCs w:val="12"/>
                <w:b w:val="1"/>
                <w:bCs w:val="1"/>
                <w:color w:val="auto"/>
              </w:rPr>
              <w:t>World</w:t>
            </w:r>
          </w:p>
        </w:tc>
        <w:tc>
          <w:tcPr>
            <w:tcW w:w="14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jc w:val="right"/>
              <w:ind w:right="109"/>
              <w:spacing w:after="0"/>
              <w:rPr>
                <w:sz w:val="20"/>
                <w:szCs w:val="20"/>
                <w:color w:val="auto"/>
              </w:rPr>
            </w:pPr>
            <w:r>
              <w:rPr>
                <w:rFonts w:ascii="Times New Roman" w:cs="Times New Roman" w:eastAsia="Times New Roman" w:hAnsi="Times New Roman"/>
                <w:sz w:val="12"/>
                <w:szCs w:val="12"/>
                <w:b w:val="1"/>
                <w:bCs w:val="1"/>
                <w:color w:val="auto"/>
              </w:rPr>
              <w:t>Group</w:t>
            </w:r>
          </w:p>
        </w:tc>
        <w:tc>
          <w:tcPr>
            <w:tcW w:w="18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jc w:val="right"/>
              <w:ind w:right="169"/>
              <w:spacing w:after="0"/>
              <w:rPr>
                <w:sz w:val="20"/>
                <w:szCs w:val="20"/>
                <w:color w:val="auto"/>
              </w:rPr>
            </w:pPr>
            <w:r>
              <w:rPr>
                <w:rFonts w:ascii="Times New Roman" w:cs="Times New Roman" w:eastAsia="Times New Roman" w:hAnsi="Times New Roman"/>
                <w:sz w:val="12"/>
                <w:szCs w:val="12"/>
                <w:b w:val="1"/>
                <w:bCs w:val="1"/>
                <w:color w:val="auto"/>
              </w:rPr>
              <w:t>Mid</w:t>
            </w:r>
          </w:p>
        </w:tc>
        <w:tc>
          <w:tcPr>
            <w:tcW w:w="780" w:type="dxa"/>
            <w:vAlign w:val="bottom"/>
            <w:tcBorders>
              <w:bottom w:val="single" w:sz="8" w:color="auto"/>
            </w:tcBorders>
            <w:gridSpan w:val="2"/>
          </w:tcPr>
          <w:p>
            <w:pPr>
              <w:ind w:left="40"/>
              <w:spacing w:after="0"/>
              <w:rPr>
                <w:sz w:val="20"/>
                <w:szCs w:val="20"/>
                <w:color w:val="auto"/>
              </w:rPr>
            </w:pPr>
            <w:r>
              <w:rPr>
                <w:rFonts w:ascii="Times New Roman" w:cs="Times New Roman" w:eastAsia="Times New Roman" w:hAnsi="Times New Roman"/>
                <w:sz w:val="12"/>
                <w:szCs w:val="12"/>
                <w:b w:val="1"/>
                <w:bCs w:val="1"/>
                <w:color w:val="auto"/>
                <w:w w:val="95"/>
              </w:rPr>
              <w:t>Capital Group</w:t>
            </w:r>
          </w:p>
        </w:tc>
        <w:tc>
          <w:tcPr>
            <w:tcW w:w="10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vMerge w:val="continue"/>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99"/>
        </w:trPr>
        <w:tc>
          <w:tcPr>
            <w:tcW w:w="1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March 31, 2026</w:t>
            </w:r>
          </w:p>
        </w:tc>
        <w:tc>
          <w:tcPr>
            <w:tcW w:w="14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80" w:type="dxa"/>
            <w:vAlign w:val="bottom"/>
            <w:gridSpan w:val="3"/>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(unaudited; in millions)</w:t>
            </w:r>
          </w:p>
        </w:tc>
        <w:tc>
          <w:tcPr>
            <w:tcW w:w="1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15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Beginning AUM</w:t>
            </w: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31,259</w:t>
            </w:r>
          </w:p>
        </w:tc>
        <w:tc>
          <w:tcPr>
            <w:tcW w:w="1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15,907</w:t>
            </w:r>
          </w:p>
        </w:tc>
        <w:tc>
          <w:tcPr>
            <w:tcW w:w="8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7,880</w:t>
            </w: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54,010</w:t>
            </w:r>
          </w:p>
        </w:tc>
        <w:tc>
          <w:tcPr>
            <w:tcW w:w="18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37,264</w:t>
            </w:r>
          </w:p>
        </w:tc>
        <w:tc>
          <w:tcPr>
            <w:tcW w:w="1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2,537</w:t>
            </w: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15,051</w:t>
            </w: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4,283</w:t>
            </w: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2,446</w:t>
            </w:r>
          </w:p>
        </w:tc>
        <w:tc>
          <w:tcPr>
            <w:tcW w:w="18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4,913</w:t>
            </w:r>
          </w:p>
        </w:tc>
        <w:tc>
          <w:tcPr>
            <w:tcW w:w="1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4,378</w:t>
            </w: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179,928</w:t>
            </w:r>
          </w:p>
        </w:tc>
        <w:tc>
          <w:tcPr>
            <w:tcW w:w="0" w:type="dxa"/>
            <w:vAlign w:val="bottom"/>
          </w:tcPr>
          <w:p>
            <w:pPr>
              <w:spacing w:after="0"/>
              <w:rPr>
                <w:sz w:val="1"/>
                <w:szCs w:val="1"/>
                <w:color w:val="auto"/>
              </w:rPr>
            </w:pPr>
          </w:p>
        </w:tc>
      </w:tr>
      <w:tr>
        <w:trPr>
          <w:trHeight w:val="146"/>
        </w:trPr>
        <w:tc>
          <w:tcPr>
            <w:tcW w:w="1540" w:type="dxa"/>
            <w:vAlign w:val="bottom"/>
            <w:shd w:val="clear" w:color="auto" w:fill="CCEEFF"/>
          </w:tcPr>
          <w:p>
            <w:pPr>
              <w:ind w:left="180"/>
              <w:spacing w:after="0" w:line="147" w:lineRule="exact"/>
              <w:rPr>
                <w:sz w:val="20"/>
                <w:szCs w:val="20"/>
                <w:color w:val="auto"/>
              </w:rPr>
            </w:pPr>
            <w:r>
              <w:rPr>
                <w:rFonts w:ascii="Times New Roman" w:cs="Times New Roman" w:eastAsia="Times New Roman" w:hAnsi="Times New Roman"/>
                <w:sz w:val="14"/>
                <w:szCs w:val="14"/>
                <w:color w:val="auto"/>
              </w:rPr>
              <w:t>Gross client cash</w:t>
            </w:r>
          </w:p>
        </w:tc>
        <w:tc>
          <w:tcPr>
            <w:tcW w:w="140" w:type="dxa"/>
            <w:vAlign w:val="bottom"/>
            <w:shd w:val="clear" w:color="auto" w:fill="CCEEFF"/>
          </w:tcPr>
          <w:p>
            <w:pPr>
              <w:spacing w:after="0"/>
              <w:rPr>
                <w:sz w:val="12"/>
                <w:szCs w:val="12"/>
                <w:color w:val="auto"/>
              </w:rPr>
            </w:pPr>
          </w:p>
        </w:tc>
        <w:tc>
          <w:tcPr>
            <w:tcW w:w="6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1,884</w:t>
            </w:r>
          </w:p>
        </w:tc>
        <w:tc>
          <w:tcPr>
            <w:tcW w:w="180" w:type="dxa"/>
            <w:vAlign w:val="bottom"/>
            <w:shd w:val="clear" w:color="auto" w:fill="CCEEFF"/>
          </w:tcPr>
          <w:p>
            <w:pPr>
              <w:spacing w:after="0"/>
              <w:rPr>
                <w:sz w:val="12"/>
                <w:szCs w:val="12"/>
                <w:color w:val="auto"/>
              </w:rPr>
            </w:pPr>
          </w:p>
        </w:tc>
        <w:tc>
          <w:tcPr>
            <w:tcW w:w="5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549</w:t>
            </w:r>
          </w:p>
        </w:tc>
        <w:tc>
          <w:tcPr>
            <w:tcW w:w="80" w:type="dxa"/>
            <w:vAlign w:val="bottom"/>
            <w:shd w:val="clear" w:color="auto" w:fill="CCEEFF"/>
          </w:tcPr>
          <w:p>
            <w:pPr>
              <w:spacing w:after="0"/>
              <w:rPr>
                <w:sz w:val="12"/>
                <w:szCs w:val="12"/>
                <w:color w:val="auto"/>
              </w:rPr>
            </w:pPr>
          </w:p>
        </w:tc>
        <w:tc>
          <w:tcPr>
            <w:tcW w:w="6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181</w:t>
            </w:r>
          </w:p>
        </w:tc>
        <w:tc>
          <w:tcPr>
            <w:tcW w:w="100" w:type="dxa"/>
            <w:vAlign w:val="bottom"/>
            <w:shd w:val="clear" w:color="auto" w:fill="CCEEFF"/>
          </w:tcPr>
          <w:p>
            <w:pPr>
              <w:spacing w:after="0"/>
              <w:rPr>
                <w:sz w:val="12"/>
                <w:szCs w:val="12"/>
                <w:color w:val="auto"/>
              </w:rPr>
            </w:pPr>
          </w:p>
        </w:tc>
        <w:tc>
          <w:tcPr>
            <w:tcW w:w="6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2,134</w:t>
            </w:r>
          </w:p>
        </w:tc>
        <w:tc>
          <w:tcPr>
            <w:tcW w:w="180" w:type="dxa"/>
            <w:vAlign w:val="bottom"/>
            <w:shd w:val="clear" w:color="auto" w:fill="CCEEFF"/>
          </w:tcPr>
          <w:p>
            <w:pPr>
              <w:spacing w:after="0"/>
              <w:rPr>
                <w:sz w:val="12"/>
                <w:szCs w:val="12"/>
                <w:color w:val="auto"/>
              </w:rPr>
            </w:pPr>
          </w:p>
        </w:tc>
        <w:tc>
          <w:tcPr>
            <w:tcW w:w="5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1,320</w:t>
            </w:r>
          </w:p>
        </w:tc>
        <w:tc>
          <w:tcPr>
            <w:tcW w:w="160" w:type="dxa"/>
            <w:vAlign w:val="bottom"/>
            <w:shd w:val="clear" w:color="auto" w:fill="CCEEFF"/>
          </w:tcPr>
          <w:p>
            <w:pPr>
              <w:spacing w:after="0"/>
              <w:rPr>
                <w:sz w:val="12"/>
                <w:szCs w:val="12"/>
                <w:color w:val="auto"/>
              </w:rPr>
            </w:pPr>
          </w:p>
        </w:tc>
        <w:tc>
          <w:tcPr>
            <w:tcW w:w="5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402</w:t>
            </w:r>
          </w:p>
        </w:tc>
        <w:tc>
          <w:tcPr>
            <w:tcW w:w="140" w:type="dxa"/>
            <w:vAlign w:val="bottom"/>
            <w:shd w:val="clear" w:color="auto" w:fill="CCEEFF"/>
          </w:tcPr>
          <w:p>
            <w:pPr>
              <w:spacing w:after="0"/>
              <w:rPr>
                <w:sz w:val="12"/>
                <w:szCs w:val="12"/>
                <w:color w:val="auto"/>
              </w:rPr>
            </w:pPr>
          </w:p>
        </w:tc>
        <w:tc>
          <w:tcPr>
            <w:tcW w:w="5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1,372</w:t>
            </w:r>
          </w:p>
        </w:tc>
        <w:tc>
          <w:tcPr>
            <w:tcW w:w="140" w:type="dxa"/>
            <w:vAlign w:val="bottom"/>
            <w:shd w:val="clear" w:color="auto" w:fill="CCEEFF"/>
          </w:tcPr>
          <w:p>
            <w:pPr>
              <w:spacing w:after="0"/>
              <w:rPr>
                <w:sz w:val="12"/>
                <w:szCs w:val="12"/>
                <w:color w:val="auto"/>
              </w:rPr>
            </w:pP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258</w:t>
            </w:r>
          </w:p>
        </w:tc>
        <w:tc>
          <w:tcPr>
            <w:tcW w:w="140" w:type="dxa"/>
            <w:vAlign w:val="bottom"/>
            <w:shd w:val="clear" w:color="auto" w:fill="CCEEFF"/>
          </w:tcPr>
          <w:p>
            <w:pPr>
              <w:spacing w:after="0"/>
              <w:rPr>
                <w:sz w:val="12"/>
                <w:szCs w:val="12"/>
                <w:color w:val="auto"/>
              </w:rPr>
            </w:pPr>
          </w:p>
        </w:tc>
        <w:tc>
          <w:tcPr>
            <w:tcW w:w="5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361</w:t>
            </w:r>
          </w:p>
        </w:tc>
        <w:tc>
          <w:tcPr>
            <w:tcW w:w="180" w:type="dxa"/>
            <w:vAlign w:val="bottom"/>
            <w:shd w:val="clear" w:color="auto" w:fill="CCEEFF"/>
          </w:tcPr>
          <w:p>
            <w:pPr>
              <w:spacing w:after="0"/>
              <w:rPr>
                <w:sz w:val="12"/>
                <w:szCs w:val="12"/>
                <w:color w:val="auto"/>
              </w:rPr>
            </w:pPr>
          </w:p>
        </w:tc>
        <w:tc>
          <w:tcPr>
            <w:tcW w:w="5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189</w:t>
            </w:r>
          </w:p>
        </w:tc>
        <w:tc>
          <w:tcPr>
            <w:tcW w:w="120" w:type="dxa"/>
            <w:vAlign w:val="bottom"/>
            <w:shd w:val="clear" w:color="auto" w:fill="CCEEFF"/>
          </w:tcPr>
          <w:p>
            <w:pPr>
              <w:spacing w:after="0"/>
              <w:rPr>
                <w:sz w:val="12"/>
                <w:szCs w:val="12"/>
                <w:color w:val="auto"/>
              </w:rPr>
            </w:pPr>
          </w:p>
        </w:tc>
        <w:tc>
          <w:tcPr>
            <w:tcW w:w="6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538</w:t>
            </w:r>
          </w:p>
        </w:tc>
        <w:tc>
          <w:tcPr>
            <w:tcW w:w="100" w:type="dxa"/>
            <w:vAlign w:val="bottom"/>
            <w:shd w:val="clear" w:color="auto" w:fill="CCEEFF"/>
          </w:tcPr>
          <w:p>
            <w:pPr>
              <w:spacing w:after="0"/>
              <w:rPr>
                <w:sz w:val="12"/>
                <w:szCs w:val="12"/>
                <w:color w:val="auto"/>
              </w:rPr>
            </w:pPr>
          </w:p>
        </w:tc>
        <w:tc>
          <w:tcPr>
            <w:tcW w:w="6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2"/>
                <w:szCs w:val="12"/>
                <w:color w:val="auto"/>
              </w:rPr>
            </w:pPr>
          </w:p>
        </w:tc>
        <w:tc>
          <w:tcPr>
            <w:tcW w:w="6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9,188</w:t>
            </w:r>
          </w:p>
        </w:tc>
        <w:tc>
          <w:tcPr>
            <w:tcW w:w="0" w:type="dxa"/>
            <w:vAlign w:val="bottom"/>
          </w:tcPr>
          <w:p>
            <w:pPr>
              <w:spacing w:after="0"/>
              <w:rPr>
                <w:sz w:val="1"/>
                <w:szCs w:val="1"/>
                <w:color w:val="auto"/>
              </w:rPr>
            </w:pPr>
          </w:p>
        </w:tc>
      </w:tr>
      <w:tr>
        <w:trPr>
          <w:trHeight w:val="198"/>
        </w:trPr>
        <w:tc>
          <w:tcPr>
            <w:tcW w:w="15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inflows</w:t>
            </w:r>
          </w:p>
        </w:tc>
        <w:tc>
          <w:tcPr>
            <w:tcW w:w="140" w:type="dxa"/>
            <w:vAlign w:val="bottom"/>
            <w:shd w:val="clear" w:color="auto" w:fill="CCEEFF"/>
          </w:tcPr>
          <w:p>
            <w:pPr>
              <w:spacing w:after="0"/>
              <w:rPr>
                <w:sz w:val="17"/>
                <w:szCs w:val="17"/>
                <w:color w:val="auto"/>
              </w:rPr>
            </w:pPr>
          </w:p>
        </w:tc>
        <w:tc>
          <w:tcPr>
            <w:tcW w:w="600" w:type="dxa"/>
            <w:vAlign w:val="bottom"/>
            <w:vMerge w:val="continue"/>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6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2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vMerge w:val="continue"/>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60" w:type="dxa"/>
            <w:vAlign w:val="bottom"/>
            <w:vMerge w:val="continue"/>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40" w:type="dxa"/>
            <w:vAlign w:val="bottom"/>
            <w:vMerge w:val="continue"/>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80" w:type="dxa"/>
            <w:vAlign w:val="bottom"/>
            <w:vMerge w:val="continue"/>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vMerge w:val="continue"/>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60" w:type="dxa"/>
            <w:vAlign w:val="bottom"/>
            <w:vMerge w:val="continue"/>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2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vMerge w:val="continue"/>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2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39"/>
        </w:trPr>
        <w:tc>
          <w:tcPr>
            <w:tcW w:w="1540" w:type="dxa"/>
            <w:vAlign w:val="bottom"/>
          </w:tcPr>
          <w:p>
            <w:pPr>
              <w:ind w:left="180"/>
              <w:spacing w:after="0" w:line="139" w:lineRule="exact"/>
              <w:rPr>
                <w:sz w:val="20"/>
                <w:szCs w:val="20"/>
                <w:color w:val="auto"/>
              </w:rPr>
            </w:pPr>
            <w:r>
              <w:rPr>
                <w:rFonts w:ascii="Times New Roman" w:cs="Times New Roman" w:eastAsia="Times New Roman" w:hAnsi="Times New Roman"/>
                <w:sz w:val="14"/>
                <w:szCs w:val="14"/>
                <w:color w:val="auto"/>
              </w:rPr>
              <w:t>Gross client cash</w:t>
            </w:r>
          </w:p>
        </w:tc>
        <w:tc>
          <w:tcPr>
            <w:tcW w:w="140" w:type="dxa"/>
            <w:vAlign w:val="bottom"/>
          </w:tcPr>
          <w:p>
            <w:pPr>
              <w:spacing w:after="0"/>
              <w:rPr>
                <w:sz w:val="12"/>
                <w:szCs w:val="12"/>
                <w:color w:val="auto"/>
              </w:rPr>
            </w:pP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(3,395)</w:t>
            </w:r>
          </w:p>
        </w:tc>
        <w:tc>
          <w:tcPr>
            <w:tcW w:w="180" w:type="dxa"/>
            <w:vAlign w:val="bottom"/>
          </w:tcPr>
          <w:p>
            <w:pPr>
              <w:spacing w:after="0"/>
              <w:rPr>
                <w:sz w:val="12"/>
                <w:szCs w:val="12"/>
                <w:color w:val="auto"/>
              </w:rPr>
            </w:pPr>
          </w:p>
        </w:tc>
        <w:tc>
          <w:tcPr>
            <w:tcW w:w="5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(1,035)</w:t>
            </w:r>
          </w:p>
        </w:tc>
        <w:tc>
          <w:tcPr>
            <w:tcW w:w="80" w:type="dxa"/>
            <w:vAlign w:val="bottom"/>
          </w:tcPr>
          <w:p>
            <w:pPr>
              <w:spacing w:after="0"/>
              <w:rPr>
                <w:sz w:val="12"/>
                <w:szCs w:val="12"/>
                <w:color w:val="auto"/>
              </w:rPr>
            </w:pP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(247)</w:t>
            </w:r>
          </w:p>
        </w:tc>
        <w:tc>
          <w:tcPr>
            <w:tcW w:w="100" w:type="dxa"/>
            <w:vAlign w:val="bottom"/>
          </w:tcPr>
          <w:p>
            <w:pPr>
              <w:spacing w:after="0"/>
              <w:rPr>
                <w:sz w:val="12"/>
                <w:szCs w:val="12"/>
                <w:color w:val="auto"/>
              </w:rPr>
            </w:pP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(3,603)</w:t>
            </w:r>
          </w:p>
        </w:tc>
        <w:tc>
          <w:tcPr>
            <w:tcW w:w="180" w:type="dxa"/>
            <w:vAlign w:val="bottom"/>
          </w:tcPr>
          <w:p>
            <w:pPr>
              <w:spacing w:after="0"/>
              <w:rPr>
                <w:sz w:val="12"/>
                <w:szCs w:val="12"/>
                <w:color w:val="auto"/>
              </w:rPr>
            </w:pPr>
          </w:p>
        </w:tc>
        <w:tc>
          <w:tcPr>
            <w:tcW w:w="5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(1,470)</w:t>
            </w:r>
          </w:p>
        </w:tc>
        <w:tc>
          <w:tcPr>
            <w:tcW w:w="160" w:type="dxa"/>
            <w:vAlign w:val="bottom"/>
          </w:tcPr>
          <w:p>
            <w:pPr>
              <w:spacing w:after="0"/>
              <w:rPr>
                <w:sz w:val="12"/>
                <w:szCs w:val="12"/>
                <w:color w:val="auto"/>
              </w:rPr>
            </w:pPr>
          </w:p>
        </w:tc>
        <w:tc>
          <w:tcPr>
            <w:tcW w:w="5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(150)</w:t>
            </w:r>
          </w:p>
        </w:tc>
        <w:tc>
          <w:tcPr>
            <w:tcW w:w="140" w:type="dxa"/>
            <w:vAlign w:val="bottom"/>
          </w:tcPr>
          <w:p>
            <w:pPr>
              <w:spacing w:after="0"/>
              <w:rPr>
                <w:sz w:val="12"/>
                <w:szCs w:val="12"/>
                <w:color w:val="auto"/>
              </w:rPr>
            </w:pPr>
          </w:p>
        </w:tc>
        <w:tc>
          <w:tcPr>
            <w:tcW w:w="5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(611)</w:t>
            </w:r>
          </w:p>
        </w:tc>
        <w:tc>
          <w:tcPr>
            <w:tcW w:w="140" w:type="dxa"/>
            <w:vAlign w:val="bottom"/>
          </w:tcPr>
          <w:p>
            <w:pPr>
              <w:spacing w:after="0"/>
              <w:rPr>
                <w:sz w:val="12"/>
                <w:szCs w:val="12"/>
                <w:color w:val="auto"/>
              </w:rPr>
            </w:pP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(643)</w:t>
            </w:r>
          </w:p>
        </w:tc>
        <w:tc>
          <w:tcPr>
            <w:tcW w:w="140" w:type="dxa"/>
            <w:vAlign w:val="bottom"/>
          </w:tcPr>
          <w:p>
            <w:pPr>
              <w:spacing w:after="0"/>
              <w:rPr>
                <w:sz w:val="12"/>
                <w:szCs w:val="12"/>
                <w:color w:val="auto"/>
              </w:rPr>
            </w:pPr>
          </w:p>
        </w:tc>
        <w:tc>
          <w:tcPr>
            <w:tcW w:w="5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(357)</w:t>
            </w:r>
          </w:p>
        </w:tc>
        <w:tc>
          <w:tcPr>
            <w:tcW w:w="180" w:type="dxa"/>
            <w:vAlign w:val="bottom"/>
          </w:tcPr>
          <w:p>
            <w:pPr>
              <w:spacing w:after="0"/>
              <w:rPr>
                <w:sz w:val="12"/>
                <w:szCs w:val="12"/>
                <w:color w:val="auto"/>
              </w:rPr>
            </w:pPr>
          </w:p>
        </w:tc>
        <w:tc>
          <w:tcPr>
            <w:tcW w:w="5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(609)</w:t>
            </w:r>
          </w:p>
        </w:tc>
        <w:tc>
          <w:tcPr>
            <w:tcW w:w="120" w:type="dxa"/>
            <w:vAlign w:val="bottom"/>
          </w:tcPr>
          <w:p>
            <w:pPr>
              <w:spacing w:after="0"/>
              <w:rPr>
                <w:sz w:val="12"/>
                <w:szCs w:val="12"/>
                <w:color w:val="auto"/>
              </w:rPr>
            </w:pP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(185)</w:t>
            </w:r>
          </w:p>
        </w:tc>
        <w:tc>
          <w:tcPr>
            <w:tcW w:w="100" w:type="dxa"/>
            <w:vAlign w:val="bottom"/>
          </w:tcPr>
          <w:p>
            <w:pPr>
              <w:spacing w:after="0"/>
              <w:rPr>
                <w:sz w:val="12"/>
                <w:szCs w:val="12"/>
                <w:color w:val="auto"/>
              </w:rPr>
            </w:pP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(12,305)</w:t>
            </w:r>
          </w:p>
        </w:tc>
        <w:tc>
          <w:tcPr>
            <w:tcW w:w="0" w:type="dxa"/>
            <w:vAlign w:val="bottom"/>
          </w:tcPr>
          <w:p>
            <w:pPr>
              <w:spacing w:after="0"/>
              <w:rPr>
                <w:sz w:val="1"/>
                <w:szCs w:val="1"/>
                <w:color w:val="auto"/>
              </w:rPr>
            </w:pPr>
          </w:p>
        </w:tc>
      </w:tr>
      <w:tr>
        <w:trPr>
          <w:trHeight w:val="193"/>
        </w:trPr>
        <w:tc>
          <w:tcPr>
            <w:tcW w:w="154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4"/>
                <w:szCs w:val="14"/>
                <w:color w:val="auto"/>
              </w:rPr>
              <w:t>outflows</w:t>
            </w:r>
          </w:p>
        </w:tc>
        <w:tc>
          <w:tcPr>
            <w:tcW w:w="14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vMerge w:val="continue"/>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1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client cash flows</w:t>
            </w:r>
          </w:p>
        </w:tc>
        <w:tc>
          <w:tcPr>
            <w:tcW w:w="14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(1,511)</w:t>
            </w:r>
          </w:p>
        </w:tc>
        <w:tc>
          <w:tcPr>
            <w:tcW w:w="18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(486)</w:t>
            </w:r>
          </w:p>
        </w:tc>
        <w:tc>
          <w:tcPr>
            <w:tcW w:w="8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(66)</w:t>
            </w: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(1,469)</w:t>
            </w:r>
          </w:p>
        </w:tc>
        <w:tc>
          <w:tcPr>
            <w:tcW w:w="18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(150)</w:t>
            </w:r>
          </w:p>
        </w:tc>
        <w:tc>
          <w:tcPr>
            <w:tcW w:w="16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252</w:t>
            </w:r>
          </w:p>
        </w:tc>
        <w:tc>
          <w:tcPr>
            <w:tcW w:w="14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761</w:t>
            </w: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(385)</w:t>
            </w:r>
          </w:p>
        </w:tc>
        <w:tc>
          <w:tcPr>
            <w:tcW w:w="14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18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(420)</w:t>
            </w: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353</w:t>
            </w: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(3,117)</w:t>
            </w:r>
          </w:p>
        </w:tc>
        <w:tc>
          <w:tcPr>
            <w:tcW w:w="0" w:type="dxa"/>
            <w:vAlign w:val="bottom"/>
          </w:tcPr>
          <w:p>
            <w:pPr>
              <w:spacing w:after="0"/>
              <w:rPr>
                <w:sz w:val="1"/>
                <w:szCs w:val="1"/>
                <w:color w:val="auto"/>
              </w:rPr>
            </w:pPr>
          </w:p>
        </w:tc>
      </w:tr>
      <w:tr>
        <w:trPr>
          <w:trHeight w:val="195"/>
        </w:trPr>
        <w:tc>
          <w:tcPr>
            <w:tcW w:w="154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 xml:space="preserve">Acquisitions </w:t>
            </w:r>
            <w:r>
              <w:rPr>
                <w:rFonts w:ascii="Times New Roman" w:cs="Times New Roman" w:eastAsia="Times New Roman" w:hAnsi="Times New Roman"/>
                <w:sz w:val="9"/>
                <w:szCs w:val="9"/>
                <w:color w:val="auto"/>
              </w:rPr>
              <w:t>(1)</w:t>
            </w:r>
          </w:p>
        </w:tc>
        <w:tc>
          <w:tcPr>
            <w:tcW w:w="14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880</w:t>
            </w:r>
          </w:p>
        </w:tc>
        <w:tc>
          <w:tcPr>
            <w:tcW w:w="22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880</w:t>
            </w:r>
          </w:p>
        </w:tc>
        <w:tc>
          <w:tcPr>
            <w:tcW w:w="0" w:type="dxa"/>
            <w:vAlign w:val="bottom"/>
          </w:tcPr>
          <w:p>
            <w:pPr>
              <w:spacing w:after="0"/>
              <w:rPr>
                <w:sz w:val="1"/>
                <w:szCs w:val="1"/>
                <w:color w:val="auto"/>
              </w:rPr>
            </w:pPr>
          </w:p>
        </w:tc>
      </w:tr>
      <w:tr>
        <w:trPr>
          <w:trHeight w:val="173"/>
        </w:trPr>
        <w:tc>
          <w:tcPr>
            <w:tcW w:w="1540" w:type="dxa"/>
            <w:vAlign w:val="bottom"/>
            <w:shd w:val="clear" w:color="auto" w:fill="CCEEFF"/>
          </w:tcPr>
          <w:p>
            <w:pPr>
              <w:ind w:left="20"/>
              <w:spacing w:after="0" w:line="174" w:lineRule="exact"/>
              <w:rPr>
                <w:sz w:val="20"/>
                <w:szCs w:val="20"/>
                <w:color w:val="auto"/>
              </w:rPr>
            </w:pPr>
            <w:r>
              <w:rPr>
                <w:rFonts w:ascii="Times New Roman" w:cs="Times New Roman" w:eastAsia="Times New Roman" w:hAnsi="Times New Roman"/>
                <w:sz w:val="14"/>
                <w:szCs w:val="14"/>
                <w:color w:val="auto"/>
              </w:rPr>
              <w:t>Artisan Funds</w:t>
            </w: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45"/>
        </w:trPr>
        <w:tc>
          <w:tcPr>
            <w:tcW w:w="1540" w:type="dxa"/>
            <w:vAlign w:val="bottom"/>
            <w:shd w:val="clear" w:color="auto" w:fill="CCEEFF"/>
          </w:tcPr>
          <w:p>
            <w:pPr>
              <w:ind w:left="20"/>
              <w:spacing w:after="0" w:line="145" w:lineRule="exact"/>
              <w:rPr>
                <w:sz w:val="20"/>
                <w:szCs w:val="20"/>
                <w:color w:val="auto"/>
              </w:rPr>
            </w:pPr>
            <w:r>
              <w:rPr>
                <w:rFonts w:ascii="Times New Roman" w:cs="Times New Roman" w:eastAsia="Times New Roman" w:hAnsi="Times New Roman"/>
                <w:sz w:val="14"/>
                <w:szCs w:val="14"/>
                <w:color w:val="auto"/>
              </w:rPr>
              <w:t>distributions not</w:t>
            </w:r>
          </w:p>
        </w:tc>
        <w:tc>
          <w:tcPr>
            <w:tcW w:w="140" w:type="dxa"/>
            <w:vAlign w:val="bottom"/>
            <w:shd w:val="clear" w:color="auto" w:fill="CCEEFF"/>
          </w:tcPr>
          <w:p>
            <w:pPr>
              <w:spacing w:after="0"/>
              <w:rPr>
                <w:sz w:val="12"/>
                <w:szCs w:val="12"/>
                <w:color w:val="auto"/>
              </w:rPr>
            </w:pPr>
          </w:p>
        </w:tc>
        <w:tc>
          <w:tcPr>
            <w:tcW w:w="6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2"/>
                <w:szCs w:val="12"/>
                <w:color w:val="auto"/>
              </w:rPr>
            </w:pPr>
          </w:p>
        </w:tc>
        <w:tc>
          <w:tcPr>
            <w:tcW w:w="5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6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6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w:t>
            </w:r>
          </w:p>
        </w:tc>
        <w:tc>
          <w:tcPr>
            <w:tcW w:w="180" w:type="dxa"/>
            <w:vAlign w:val="bottom"/>
            <w:shd w:val="clear" w:color="auto" w:fill="CCEEFF"/>
          </w:tcPr>
          <w:p>
            <w:pPr>
              <w:spacing w:after="0"/>
              <w:rPr>
                <w:sz w:val="12"/>
                <w:szCs w:val="12"/>
                <w:color w:val="auto"/>
              </w:rPr>
            </w:pPr>
          </w:p>
        </w:tc>
        <w:tc>
          <w:tcPr>
            <w:tcW w:w="5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5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5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(101)</w:t>
            </w:r>
          </w:p>
        </w:tc>
        <w:tc>
          <w:tcPr>
            <w:tcW w:w="140" w:type="dxa"/>
            <w:vAlign w:val="bottom"/>
            <w:shd w:val="clear" w:color="auto" w:fill="CCEEFF"/>
          </w:tcPr>
          <w:p>
            <w:pPr>
              <w:spacing w:after="0"/>
              <w:rPr>
                <w:sz w:val="12"/>
                <w:szCs w:val="12"/>
                <w:color w:val="auto"/>
              </w:rPr>
            </w:pP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5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2"/>
                <w:szCs w:val="12"/>
                <w:color w:val="auto"/>
              </w:rPr>
            </w:pPr>
          </w:p>
        </w:tc>
        <w:tc>
          <w:tcPr>
            <w:tcW w:w="5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6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100" w:type="dxa"/>
            <w:vAlign w:val="bottom"/>
            <w:shd w:val="clear" w:color="auto" w:fill="CCEEFF"/>
          </w:tcPr>
          <w:p>
            <w:pPr>
              <w:spacing w:after="0"/>
              <w:rPr>
                <w:sz w:val="12"/>
                <w:szCs w:val="12"/>
                <w:color w:val="auto"/>
              </w:rPr>
            </w:pPr>
          </w:p>
        </w:tc>
        <w:tc>
          <w:tcPr>
            <w:tcW w:w="6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2"/>
                <w:szCs w:val="12"/>
                <w:color w:val="auto"/>
              </w:rPr>
            </w:pPr>
          </w:p>
        </w:tc>
        <w:tc>
          <w:tcPr>
            <w:tcW w:w="6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(134)</w:t>
            </w:r>
          </w:p>
        </w:tc>
        <w:tc>
          <w:tcPr>
            <w:tcW w:w="0" w:type="dxa"/>
            <w:vAlign w:val="bottom"/>
          </w:tcPr>
          <w:p>
            <w:pPr>
              <w:spacing w:after="0"/>
              <w:rPr>
                <w:sz w:val="1"/>
                <w:szCs w:val="1"/>
                <w:color w:val="auto"/>
              </w:rPr>
            </w:pPr>
          </w:p>
        </w:tc>
      </w:tr>
      <w:tr>
        <w:trPr>
          <w:trHeight w:val="201"/>
        </w:trPr>
        <w:tc>
          <w:tcPr>
            <w:tcW w:w="1540" w:type="dxa"/>
            <w:vAlign w:val="bottom"/>
            <w:shd w:val="clear" w:color="auto" w:fill="CCEEFF"/>
          </w:tcPr>
          <w:p>
            <w:pPr>
              <w:ind w:left="20"/>
              <w:spacing w:after="0" w:line="201" w:lineRule="exact"/>
              <w:rPr>
                <w:sz w:val="20"/>
                <w:szCs w:val="20"/>
                <w:color w:val="auto"/>
              </w:rPr>
            </w:pPr>
            <w:r>
              <w:rPr>
                <w:rFonts w:ascii="Times New Roman" w:cs="Times New Roman" w:eastAsia="Times New Roman" w:hAnsi="Times New Roman"/>
                <w:sz w:val="14"/>
                <w:szCs w:val="14"/>
                <w:color w:val="auto"/>
              </w:rPr>
              <w:t xml:space="preserve">reinvested </w:t>
            </w:r>
            <w:r>
              <w:rPr>
                <w:rFonts w:ascii="Times New Roman" w:cs="Times New Roman" w:eastAsia="Times New Roman" w:hAnsi="Times New Roman"/>
                <w:sz w:val="18"/>
                <w:szCs w:val="18"/>
                <w:color w:val="auto"/>
                <w:vertAlign w:val="superscript"/>
              </w:rPr>
              <w:t>(2)</w:t>
            </w:r>
          </w:p>
        </w:tc>
        <w:tc>
          <w:tcPr>
            <w:tcW w:w="140" w:type="dxa"/>
            <w:vAlign w:val="bottom"/>
            <w:shd w:val="clear" w:color="auto" w:fill="CCEEFF"/>
          </w:tcPr>
          <w:p>
            <w:pPr>
              <w:spacing w:after="0"/>
              <w:rPr>
                <w:sz w:val="17"/>
                <w:szCs w:val="17"/>
                <w:color w:val="auto"/>
              </w:rPr>
            </w:pPr>
          </w:p>
        </w:tc>
        <w:tc>
          <w:tcPr>
            <w:tcW w:w="600" w:type="dxa"/>
            <w:vAlign w:val="bottom"/>
            <w:vMerge w:val="continue"/>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6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2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vMerge w:val="continue"/>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60" w:type="dxa"/>
            <w:vAlign w:val="bottom"/>
            <w:vMerge w:val="continue"/>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40" w:type="dxa"/>
            <w:vAlign w:val="bottom"/>
            <w:vMerge w:val="continue"/>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80" w:type="dxa"/>
            <w:vAlign w:val="bottom"/>
            <w:vMerge w:val="continue"/>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vMerge w:val="continue"/>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60" w:type="dxa"/>
            <w:vAlign w:val="bottom"/>
            <w:vMerge w:val="continue"/>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2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vMerge w:val="continue"/>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2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39"/>
        </w:trPr>
        <w:tc>
          <w:tcPr>
            <w:tcW w:w="1540" w:type="dxa"/>
            <w:vAlign w:val="bottom"/>
          </w:tcPr>
          <w:p>
            <w:pPr>
              <w:ind w:left="20"/>
              <w:spacing w:after="0" w:line="139" w:lineRule="exact"/>
              <w:rPr>
                <w:sz w:val="20"/>
                <w:szCs w:val="20"/>
                <w:color w:val="auto"/>
              </w:rPr>
            </w:pPr>
            <w:r>
              <w:rPr>
                <w:rFonts w:ascii="Times New Roman" w:cs="Times New Roman" w:eastAsia="Times New Roman" w:hAnsi="Times New Roman"/>
                <w:sz w:val="14"/>
                <w:szCs w:val="14"/>
                <w:color w:val="auto"/>
              </w:rPr>
              <w:t>Investment returns and</w:t>
            </w:r>
          </w:p>
        </w:tc>
        <w:tc>
          <w:tcPr>
            <w:tcW w:w="140" w:type="dxa"/>
            <w:vAlign w:val="bottom"/>
          </w:tcPr>
          <w:p>
            <w:pPr>
              <w:spacing w:after="0"/>
              <w:rPr>
                <w:sz w:val="12"/>
                <w:szCs w:val="12"/>
                <w:color w:val="auto"/>
              </w:rPr>
            </w:pP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(1,465)</w:t>
            </w:r>
          </w:p>
        </w:tc>
        <w:tc>
          <w:tcPr>
            <w:tcW w:w="180" w:type="dxa"/>
            <w:vAlign w:val="bottom"/>
          </w:tcPr>
          <w:p>
            <w:pPr>
              <w:spacing w:after="0"/>
              <w:rPr>
                <w:sz w:val="12"/>
                <w:szCs w:val="12"/>
                <w:color w:val="auto"/>
              </w:rPr>
            </w:pPr>
          </w:p>
        </w:tc>
        <w:tc>
          <w:tcPr>
            <w:tcW w:w="5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428</w:t>
            </w:r>
          </w:p>
        </w:tc>
        <w:tc>
          <w:tcPr>
            <w:tcW w:w="80" w:type="dxa"/>
            <w:vAlign w:val="bottom"/>
          </w:tcPr>
          <w:p>
            <w:pPr>
              <w:spacing w:after="0"/>
              <w:rPr>
                <w:sz w:val="12"/>
                <w:szCs w:val="12"/>
                <w:color w:val="auto"/>
              </w:rPr>
            </w:pP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(308)</w:t>
            </w:r>
          </w:p>
        </w:tc>
        <w:tc>
          <w:tcPr>
            <w:tcW w:w="100" w:type="dxa"/>
            <w:vAlign w:val="bottom"/>
          </w:tcPr>
          <w:p>
            <w:pPr>
              <w:spacing w:after="0"/>
              <w:rPr>
                <w:sz w:val="12"/>
                <w:szCs w:val="12"/>
                <w:color w:val="auto"/>
              </w:rPr>
            </w:pP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(769)</w:t>
            </w:r>
          </w:p>
        </w:tc>
        <w:tc>
          <w:tcPr>
            <w:tcW w:w="180" w:type="dxa"/>
            <w:vAlign w:val="bottom"/>
          </w:tcPr>
          <w:p>
            <w:pPr>
              <w:spacing w:after="0"/>
              <w:rPr>
                <w:sz w:val="12"/>
                <w:szCs w:val="12"/>
                <w:color w:val="auto"/>
              </w:rPr>
            </w:pPr>
          </w:p>
        </w:tc>
        <w:tc>
          <w:tcPr>
            <w:tcW w:w="5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(1,310)</w:t>
            </w:r>
          </w:p>
        </w:tc>
        <w:tc>
          <w:tcPr>
            <w:tcW w:w="160" w:type="dxa"/>
            <w:vAlign w:val="bottom"/>
          </w:tcPr>
          <w:p>
            <w:pPr>
              <w:spacing w:after="0"/>
              <w:rPr>
                <w:sz w:val="12"/>
                <w:szCs w:val="12"/>
                <w:color w:val="auto"/>
              </w:rPr>
            </w:pPr>
          </w:p>
        </w:tc>
        <w:tc>
          <w:tcPr>
            <w:tcW w:w="5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(8)</w:t>
            </w:r>
          </w:p>
        </w:tc>
        <w:tc>
          <w:tcPr>
            <w:tcW w:w="140" w:type="dxa"/>
            <w:vAlign w:val="bottom"/>
          </w:tcPr>
          <w:p>
            <w:pPr>
              <w:spacing w:after="0"/>
              <w:rPr>
                <w:sz w:val="12"/>
                <w:szCs w:val="12"/>
                <w:color w:val="auto"/>
              </w:rPr>
            </w:pPr>
          </w:p>
        </w:tc>
        <w:tc>
          <w:tcPr>
            <w:tcW w:w="5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(181)</w:t>
            </w:r>
          </w:p>
        </w:tc>
        <w:tc>
          <w:tcPr>
            <w:tcW w:w="140" w:type="dxa"/>
            <w:vAlign w:val="bottom"/>
          </w:tcPr>
          <w:p>
            <w:pPr>
              <w:spacing w:after="0"/>
              <w:rPr>
                <w:sz w:val="12"/>
                <w:szCs w:val="12"/>
                <w:color w:val="auto"/>
              </w:rPr>
            </w:pP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(753)</w:t>
            </w:r>
          </w:p>
        </w:tc>
        <w:tc>
          <w:tcPr>
            <w:tcW w:w="140" w:type="dxa"/>
            <w:vAlign w:val="bottom"/>
          </w:tcPr>
          <w:p>
            <w:pPr>
              <w:spacing w:after="0"/>
              <w:rPr>
                <w:sz w:val="12"/>
                <w:szCs w:val="12"/>
                <w:color w:val="auto"/>
              </w:rPr>
            </w:pPr>
          </w:p>
        </w:tc>
        <w:tc>
          <w:tcPr>
            <w:tcW w:w="5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(104)</w:t>
            </w:r>
          </w:p>
        </w:tc>
        <w:tc>
          <w:tcPr>
            <w:tcW w:w="180" w:type="dxa"/>
            <w:vAlign w:val="bottom"/>
          </w:tcPr>
          <w:p>
            <w:pPr>
              <w:spacing w:after="0"/>
              <w:rPr>
                <w:sz w:val="12"/>
                <w:szCs w:val="12"/>
                <w:color w:val="auto"/>
              </w:rPr>
            </w:pPr>
          </w:p>
        </w:tc>
        <w:tc>
          <w:tcPr>
            <w:tcW w:w="5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(161)</w:t>
            </w:r>
          </w:p>
        </w:tc>
        <w:tc>
          <w:tcPr>
            <w:tcW w:w="120" w:type="dxa"/>
            <w:vAlign w:val="bottom"/>
          </w:tcPr>
          <w:p>
            <w:pPr>
              <w:spacing w:after="0"/>
              <w:rPr>
                <w:sz w:val="12"/>
                <w:szCs w:val="12"/>
                <w:color w:val="auto"/>
              </w:rPr>
            </w:pP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36</w:t>
            </w:r>
          </w:p>
        </w:tc>
        <w:tc>
          <w:tcPr>
            <w:tcW w:w="100" w:type="dxa"/>
            <w:vAlign w:val="bottom"/>
          </w:tcPr>
          <w:p>
            <w:pPr>
              <w:spacing w:after="0"/>
              <w:rPr>
                <w:sz w:val="12"/>
                <w:szCs w:val="12"/>
                <w:color w:val="auto"/>
              </w:rPr>
            </w:pP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19</w:t>
            </w:r>
          </w:p>
        </w:tc>
        <w:tc>
          <w:tcPr>
            <w:tcW w:w="220" w:type="dxa"/>
            <w:vAlign w:val="bottom"/>
          </w:tcPr>
          <w:p>
            <w:pPr>
              <w:spacing w:after="0"/>
              <w:rPr>
                <w:sz w:val="12"/>
                <w:szCs w:val="12"/>
                <w:color w:val="auto"/>
              </w:rPr>
            </w:pP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(4,576)</w:t>
            </w:r>
          </w:p>
        </w:tc>
        <w:tc>
          <w:tcPr>
            <w:tcW w:w="0" w:type="dxa"/>
            <w:vAlign w:val="bottom"/>
          </w:tcPr>
          <w:p>
            <w:pPr>
              <w:spacing w:after="0"/>
              <w:rPr>
                <w:sz w:val="1"/>
                <w:szCs w:val="1"/>
                <w:color w:val="auto"/>
              </w:rPr>
            </w:pPr>
          </w:p>
        </w:tc>
      </w:tr>
      <w:tr>
        <w:trPr>
          <w:trHeight w:val="193"/>
        </w:trPr>
        <w:tc>
          <w:tcPr>
            <w:tcW w:w="15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other</w:t>
            </w:r>
          </w:p>
        </w:tc>
        <w:tc>
          <w:tcPr>
            <w:tcW w:w="14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vMerge w:val="continue"/>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6"/>
        </w:trPr>
        <w:tc>
          <w:tcPr>
            <w:tcW w:w="15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Ending AUM</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28,283</w:t>
            </w:r>
          </w:p>
        </w:tc>
        <w:tc>
          <w:tcPr>
            <w:tcW w:w="1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15,849</w:t>
            </w: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7,506</w:t>
            </w: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51,743</w:t>
            </w:r>
          </w:p>
        </w:tc>
        <w:tc>
          <w:tcPr>
            <w:tcW w:w="1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35,804</w:t>
            </w:r>
          </w:p>
        </w:tc>
        <w:tc>
          <w:tcPr>
            <w:tcW w:w="16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2,781</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15,530</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3,145</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2,346</w:t>
            </w:r>
          </w:p>
        </w:tc>
        <w:tc>
          <w:tcPr>
            <w:tcW w:w="1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4,332</w:t>
            </w:r>
          </w:p>
        </w:tc>
        <w:tc>
          <w:tcPr>
            <w:tcW w:w="1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4,763</w:t>
            </w: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899</w:t>
            </w:r>
          </w:p>
        </w:tc>
        <w:tc>
          <w:tcPr>
            <w:tcW w:w="22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172,981</w:t>
            </w:r>
          </w:p>
        </w:tc>
        <w:tc>
          <w:tcPr>
            <w:tcW w:w="0" w:type="dxa"/>
            <w:vAlign w:val="bottom"/>
          </w:tcPr>
          <w:p>
            <w:pPr>
              <w:spacing w:after="0"/>
              <w:rPr>
                <w:sz w:val="1"/>
                <w:szCs w:val="1"/>
                <w:color w:val="auto"/>
              </w:rPr>
            </w:pPr>
          </w:p>
        </w:tc>
      </w:tr>
      <w:tr>
        <w:trPr>
          <w:trHeight w:val="20"/>
        </w:trPr>
        <w:tc>
          <w:tcPr>
            <w:tcW w:w="15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15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 xml:space="preserve">Average AUM </w:t>
            </w:r>
            <w:r>
              <w:rPr>
                <w:rFonts w:ascii="Times New Roman" w:cs="Times New Roman" w:eastAsia="Times New Roman" w:hAnsi="Times New Roman"/>
                <w:sz w:val="9"/>
                <w:szCs w:val="9"/>
                <w:color w:val="auto"/>
              </w:rPr>
              <w:t>(3)</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30,346</w:t>
            </w:r>
          </w:p>
        </w:tc>
        <w:tc>
          <w:tcPr>
            <w:tcW w:w="1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16,729</w:t>
            </w: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7,878</w:t>
            </w: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54,979</w:t>
            </w:r>
          </w:p>
        </w:tc>
        <w:tc>
          <w:tcPr>
            <w:tcW w:w="1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37,676</w:t>
            </w:r>
          </w:p>
        </w:tc>
        <w:tc>
          <w:tcPr>
            <w:tcW w:w="16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2,831</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15,403</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3,894</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2,484</w:t>
            </w:r>
          </w:p>
        </w:tc>
        <w:tc>
          <w:tcPr>
            <w:tcW w:w="1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4,657</w:t>
            </w:r>
          </w:p>
        </w:tc>
        <w:tc>
          <w:tcPr>
            <w:tcW w:w="1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4,656</w:t>
            </w: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890</w:t>
            </w:r>
          </w:p>
        </w:tc>
        <w:tc>
          <w:tcPr>
            <w:tcW w:w="22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182,403</w:t>
            </w:r>
          </w:p>
        </w:tc>
        <w:tc>
          <w:tcPr>
            <w:tcW w:w="0" w:type="dxa"/>
            <w:vAlign w:val="bottom"/>
          </w:tcPr>
          <w:p>
            <w:pPr>
              <w:spacing w:after="0"/>
              <w:rPr>
                <w:sz w:val="1"/>
                <w:szCs w:val="1"/>
                <w:color w:val="auto"/>
              </w:rPr>
            </w:pPr>
          </w:p>
        </w:tc>
      </w:tr>
      <w:tr>
        <w:trPr>
          <w:trHeight w:val="20"/>
        </w:trPr>
        <w:tc>
          <w:tcPr>
            <w:tcW w:w="154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1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March 31, 2025</w:t>
            </w:r>
          </w:p>
        </w:tc>
        <w:tc>
          <w:tcPr>
            <w:tcW w:w="14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5"/>
        </w:trPr>
        <w:tc>
          <w:tcPr>
            <w:tcW w:w="15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Beginning AUM</w:t>
            </w: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38,445</w:t>
            </w:r>
          </w:p>
        </w:tc>
        <w:tc>
          <w:tcPr>
            <w:tcW w:w="1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12,934</w:t>
            </w:r>
          </w:p>
        </w:tc>
        <w:tc>
          <w:tcPr>
            <w:tcW w:w="8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7,597</w:t>
            </w: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44,295</w:t>
            </w:r>
          </w:p>
        </w:tc>
        <w:tc>
          <w:tcPr>
            <w:tcW w:w="18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28,679</w:t>
            </w:r>
          </w:p>
        </w:tc>
        <w:tc>
          <w:tcPr>
            <w:tcW w:w="1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1,552</w:t>
            </w: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11,942</w:t>
            </w: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4,100</w:t>
            </w: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2,211</w:t>
            </w:r>
          </w:p>
        </w:tc>
        <w:tc>
          <w:tcPr>
            <w:tcW w:w="18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6,544</w:t>
            </w:r>
          </w:p>
        </w:tc>
        <w:tc>
          <w:tcPr>
            <w:tcW w:w="1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2,909</w:t>
            </w: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161,208</w:t>
            </w:r>
          </w:p>
        </w:tc>
        <w:tc>
          <w:tcPr>
            <w:tcW w:w="0" w:type="dxa"/>
            <w:vAlign w:val="bottom"/>
          </w:tcPr>
          <w:p>
            <w:pPr>
              <w:spacing w:after="0"/>
              <w:rPr>
                <w:sz w:val="1"/>
                <w:szCs w:val="1"/>
                <w:color w:val="auto"/>
              </w:rPr>
            </w:pPr>
          </w:p>
        </w:tc>
      </w:tr>
      <w:tr>
        <w:trPr>
          <w:trHeight w:val="146"/>
        </w:trPr>
        <w:tc>
          <w:tcPr>
            <w:tcW w:w="1540" w:type="dxa"/>
            <w:vAlign w:val="bottom"/>
            <w:shd w:val="clear" w:color="auto" w:fill="CCEEFF"/>
          </w:tcPr>
          <w:p>
            <w:pPr>
              <w:ind w:left="180"/>
              <w:spacing w:after="0" w:line="147" w:lineRule="exact"/>
              <w:rPr>
                <w:sz w:val="20"/>
                <w:szCs w:val="20"/>
                <w:color w:val="auto"/>
              </w:rPr>
            </w:pPr>
            <w:r>
              <w:rPr>
                <w:rFonts w:ascii="Times New Roman" w:cs="Times New Roman" w:eastAsia="Times New Roman" w:hAnsi="Times New Roman"/>
                <w:sz w:val="14"/>
                <w:szCs w:val="14"/>
                <w:color w:val="auto"/>
              </w:rPr>
              <w:t>Gross client cash</w:t>
            </w:r>
          </w:p>
        </w:tc>
        <w:tc>
          <w:tcPr>
            <w:tcW w:w="140" w:type="dxa"/>
            <w:vAlign w:val="bottom"/>
            <w:shd w:val="clear" w:color="auto" w:fill="CCEEFF"/>
          </w:tcPr>
          <w:p>
            <w:pPr>
              <w:spacing w:after="0"/>
              <w:rPr>
                <w:sz w:val="12"/>
                <w:szCs w:val="12"/>
                <w:color w:val="auto"/>
              </w:rPr>
            </w:pPr>
          </w:p>
        </w:tc>
        <w:tc>
          <w:tcPr>
            <w:tcW w:w="6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1,285</w:t>
            </w:r>
          </w:p>
        </w:tc>
        <w:tc>
          <w:tcPr>
            <w:tcW w:w="180" w:type="dxa"/>
            <w:vAlign w:val="bottom"/>
            <w:shd w:val="clear" w:color="auto" w:fill="CCEEFF"/>
          </w:tcPr>
          <w:p>
            <w:pPr>
              <w:spacing w:after="0"/>
              <w:rPr>
                <w:sz w:val="12"/>
                <w:szCs w:val="12"/>
                <w:color w:val="auto"/>
              </w:rPr>
            </w:pPr>
          </w:p>
        </w:tc>
        <w:tc>
          <w:tcPr>
            <w:tcW w:w="5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181</w:t>
            </w:r>
          </w:p>
        </w:tc>
        <w:tc>
          <w:tcPr>
            <w:tcW w:w="80" w:type="dxa"/>
            <w:vAlign w:val="bottom"/>
            <w:shd w:val="clear" w:color="auto" w:fill="CCEEFF"/>
          </w:tcPr>
          <w:p>
            <w:pPr>
              <w:spacing w:after="0"/>
              <w:rPr>
                <w:sz w:val="12"/>
                <w:szCs w:val="12"/>
                <w:color w:val="auto"/>
              </w:rPr>
            </w:pPr>
          </w:p>
        </w:tc>
        <w:tc>
          <w:tcPr>
            <w:tcW w:w="6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w:t>
            </w:r>
          </w:p>
        </w:tc>
        <w:tc>
          <w:tcPr>
            <w:tcW w:w="100" w:type="dxa"/>
            <w:vAlign w:val="bottom"/>
            <w:shd w:val="clear" w:color="auto" w:fill="CCEEFF"/>
          </w:tcPr>
          <w:p>
            <w:pPr>
              <w:spacing w:after="0"/>
              <w:rPr>
                <w:sz w:val="12"/>
                <w:szCs w:val="12"/>
                <w:color w:val="auto"/>
              </w:rPr>
            </w:pPr>
          </w:p>
        </w:tc>
        <w:tc>
          <w:tcPr>
            <w:tcW w:w="6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2,908</w:t>
            </w:r>
          </w:p>
        </w:tc>
        <w:tc>
          <w:tcPr>
            <w:tcW w:w="180" w:type="dxa"/>
            <w:vAlign w:val="bottom"/>
            <w:shd w:val="clear" w:color="auto" w:fill="CCEEFF"/>
          </w:tcPr>
          <w:p>
            <w:pPr>
              <w:spacing w:after="0"/>
              <w:rPr>
                <w:sz w:val="12"/>
                <w:szCs w:val="12"/>
                <w:color w:val="auto"/>
              </w:rPr>
            </w:pPr>
          </w:p>
        </w:tc>
        <w:tc>
          <w:tcPr>
            <w:tcW w:w="5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607</w:t>
            </w:r>
          </w:p>
        </w:tc>
        <w:tc>
          <w:tcPr>
            <w:tcW w:w="160" w:type="dxa"/>
            <w:vAlign w:val="bottom"/>
            <w:shd w:val="clear" w:color="auto" w:fill="CCEEFF"/>
          </w:tcPr>
          <w:p>
            <w:pPr>
              <w:spacing w:after="0"/>
              <w:rPr>
                <w:sz w:val="12"/>
                <w:szCs w:val="12"/>
                <w:color w:val="auto"/>
              </w:rPr>
            </w:pPr>
          </w:p>
        </w:tc>
        <w:tc>
          <w:tcPr>
            <w:tcW w:w="5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89</w:t>
            </w:r>
          </w:p>
        </w:tc>
        <w:tc>
          <w:tcPr>
            <w:tcW w:w="140" w:type="dxa"/>
            <w:vAlign w:val="bottom"/>
            <w:shd w:val="clear" w:color="auto" w:fill="CCEEFF"/>
          </w:tcPr>
          <w:p>
            <w:pPr>
              <w:spacing w:after="0"/>
              <w:rPr>
                <w:sz w:val="12"/>
                <w:szCs w:val="12"/>
                <w:color w:val="auto"/>
              </w:rPr>
            </w:pPr>
          </w:p>
        </w:tc>
        <w:tc>
          <w:tcPr>
            <w:tcW w:w="5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1,023</w:t>
            </w:r>
          </w:p>
        </w:tc>
        <w:tc>
          <w:tcPr>
            <w:tcW w:w="140" w:type="dxa"/>
            <w:vAlign w:val="bottom"/>
            <w:shd w:val="clear" w:color="auto" w:fill="CCEEFF"/>
          </w:tcPr>
          <w:p>
            <w:pPr>
              <w:spacing w:after="0"/>
              <w:rPr>
                <w:sz w:val="12"/>
                <w:szCs w:val="12"/>
                <w:color w:val="auto"/>
              </w:rPr>
            </w:pP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218</w:t>
            </w:r>
          </w:p>
        </w:tc>
        <w:tc>
          <w:tcPr>
            <w:tcW w:w="140" w:type="dxa"/>
            <w:vAlign w:val="bottom"/>
            <w:shd w:val="clear" w:color="auto" w:fill="CCEEFF"/>
          </w:tcPr>
          <w:p>
            <w:pPr>
              <w:spacing w:after="0"/>
              <w:rPr>
                <w:sz w:val="12"/>
                <w:szCs w:val="12"/>
                <w:color w:val="auto"/>
              </w:rPr>
            </w:pPr>
          </w:p>
        </w:tc>
        <w:tc>
          <w:tcPr>
            <w:tcW w:w="5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97</w:t>
            </w:r>
          </w:p>
        </w:tc>
        <w:tc>
          <w:tcPr>
            <w:tcW w:w="180" w:type="dxa"/>
            <w:vAlign w:val="bottom"/>
            <w:shd w:val="clear" w:color="auto" w:fill="CCEEFF"/>
          </w:tcPr>
          <w:p>
            <w:pPr>
              <w:spacing w:after="0"/>
              <w:rPr>
                <w:sz w:val="12"/>
                <w:szCs w:val="12"/>
                <w:color w:val="auto"/>
              </w:rPr>
            </w:pPr>
          </w:p>
        </w:tc>
        <w:tc>
          <w:tcPr>
            <w:tcW w:w="5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154</w:t>
            </w:r>
          </w:p>
        </w:tc>
        <w:tc>
          <w:tcPr>
            <w:tcW w:w="120" w:type="dxa"/>
            <w:vAlign w:val="bottom"/>
            <w:shd w:val="clear" w:color="auto" w:fill="CCEEFF"/>
          </w:tcPr>
          <w:p>
            <w:pPr>
              <w:spacing w:after="0"/>
              <w:rPr>
                <w:sz w:val="12"/>
                <w:szCs w:val="12"/>
                <w:color w:val="auto"/>
              </w:rPr>
            </w:pPr>
          </w:p>
        </w:tc>
        <w:tc>
          <w:tcPr>
            <w:tcW w:w="6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387</w:t>
            </w:r>
          </w:p>
        </w:tc>
        <w:tc>
          <w:tcPr>
            <w:tcW w:w="100" w:type="dxa"/>
            <w:vAlign w:val="bottom"/>
            <w:shd w:val="clear" w:color="auto" w:fill="CCEEFF"/>
          </w:tcPr>
          <w:p>
            <w:pPr>
              <w:spacing w:after="0"/>
              <w:rPr>
                <w:sz w:val="12"/>
                <w:szCs w:val="12"/>
                <w:color w:val="auto"/>
              </w:rPr>
            </w:pPr>
          </w:p>
        </w:tc>
        <w:tc>
          <w:tcPr>
            <w:tcW w:w="6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2"/>
                <w:szCs w:val="12"/>
                <w:color w:val="auto"/>
              </w:rPr>
            </w:pPr>
          </w:p>
        </w:tc>
        <w:tc>
          <w:tcPr>
            <w:tcW w:w="6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7,014</w:t>
            </w:r>
          </w:p>
        </w:tc>
        <w:tc>
          <w:tcPr>
            <w:tcW w:w="0" w:type="dxa"/>
            <w:vAlign w:val="bottom"/>
          </w:tcPr>
          <w:p>
            <w:pPr>
              <w:spacing w:after="0"/>
              <w:rPr>
                <w:sz w:val="1"/>
                <w:szCs w:val="1"/>
                <w:color w:val="auto"/>
              </w:rPr>
            </w:pPr>
          </w:p>
        </w:tc>
      </w:tr>
      <w:tr>
        <w:trPr>
          <w:trHeight w:val="198"/>
        </w:trPr>
        <w:tc>
          <w:tcPr>
            <w:tcW w:w="15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inflows</w:t>
            </w:r>
          </w:p>
        </w:tc>
        <w:tc>
          <w:tcPr>
            <w:tcW w:w="140" w:type="dxa"/>
            <w:vAlign w:val="bottom"/>
            <w:shd w:val="clear" w:color="auto" w:fill="CCEEFF"/>
          </w:tcPr>
          <w:p>
            <w:pPr>
              <w:spacing w:after="0"/>
              <w:rPr>
                <w:sz w:val="17"/>
                <w:szCs w:val="17"/>
                <w:color w:val="auto"/>
              </w:rPr>
            </w:pPr>
          </w:p>
        </w:tc>
        <w:tc>
          <w:tcPr>
            <w:tcW w:w="600" w:type="dxa"/>
            <w:vAlign w:val="bottom"/>
            <w:vMerge w:val="continue"/>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6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2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vMerge w:val="continue"/>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60" w:type="dxa"/>
            <w:vAlign w:val="bottom"/>
            <w:vMerge w:val="continue"/>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40" w:type="dxa"/>
            <w:vAlign w:val="bottom"/>
            <w:vMerge w:val="continue"/>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80" w:type="dxa"/>
            <w:vAlign w:val="bottom"/>
            <w:vMerge w:val="continue"/>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vMerge w:val="continue"/>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60" w:type="dxa"/>
            <w:vAlign w:val="bottom"/>
            <w:vMerge w:val="continue"/>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2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vMerge w:val="continue"/>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2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39"/>
        </w:trPr>
        <w:tc>
          <w:tcPr>
            <w:tcW w:w="1540" w:type="dxa"/>
            <w:vAlign w:val="bottom"/>
          </w:tcPr>
          <w:p>
            <w:pPr>
              <w:ind w:left="180"/>
              <w:spacing w:after="0" w:line="139" w:lineRule="exact"/>
              <w:rPr>
                <w:sz w:val="20"/>
                <w:szCs w:val="20"/>
                <w:color w:val="auto"/>
              </w:rPr>
            </w:pPr>
            <w:r>
              <w:rPr>
                <w:rFonts w:ascii="Times New Roman" w:cs="Times New Roman" w:eastAsia="Times New Roman" w:hAnsi="Times New Roman"/>
                <w:sz w:val="14"/>
                <w:szCs w:val="14"/>
                <w:color w:val="auto"/>
              </w:rPr>
              <w:t>Gross client cash</w:t>
            </w:r>
          </w:p>
        </w:tc>
        <w:tc>
          <w:tcPr>
            <w:tcW w:w="140" w:type="dxa"/>
            <w:vAlign w:val="bottom"/>
          </w:tcPr>
          <w:p>
            <w:pPr>
              <w:spacing w:after="0"/>
              <w:rPr>
                <w:sz w:val="12"/>
                <w:szCs w:val="12"/>
                <w:color w:val="auto"/>
              </w:rPr>
            </w:pP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(2,909)</w:t>
            </w:r>
          </w:p>
        </w:tc>
        <w:tc>
          <w:tcPr>
            <w:tcW w:w="180" w:type="dxa"/>
            <w:vAlign w:val="bottom"/>
          </w:tcPr>
          <w:p>
            <w:pPr>
              <w:spacing w:after="0"/>
              <w:rPr>
                <w:sz w:val="12"/>
                <w:szCs w:val="12"/>
                <w:color w:val="auto"/>
              </w:rPr>
            </w:pPr>
          </w:p>
        </w:tc>
        <w:tc>
          <w:tcPr>
            <w:tcW w:w="5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(834)</w:t>
            </w:r>
          </w:p>
        </w:tc>
        <w:tc>
          <w:tcPr>
            <w:tcW w:w="80" w:type="dxa"/>
            <w:vAlign w:val="bottom"/>
          </w:tcPr>
          <w:p>
            <w:pPr>
              <w:spacing w:after="0"/>
              <w:rPr>
                <w:sz w:val="12"/>
                <w:szCs w:val="12"/>
                <w:color w:val="auto"/>
              </w:rPr>
            </w:pP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(203)</w:t>
            </w:r>
          </w:p>
        </w:tc>
        <w:tc>
          <w:tcPr>
            <w:tcW w:w="100" w:type="dxa"/>
            <w:vAlign w:val="bottom"/>
          </w:tcPr>
          <w:p>
            <w:pPr>
              <w:spacing w:after="0"/>
              <w:rPr>
                <w:sz w:val="12"/>
                <w:szCs w:val="12"/>
                <w:color w:val="auto"/>
              </w:rPr>
            </w:pP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(1,986)</w:t>
            </w:r>
          </w:p>
        </w:tc>
        <w:tc>
          <w:tcPr>
            <w:tcW w:w="180" w:type="dxa"/>
            <w:vAlign w:val="bottom"/>
          </w:tcPr>
          <w:p>
            <w:pPr>
              <w:spacing w:after="0"/>
              <w:rPr>
                <w:sz w:val="12"/>
                <w:szCs w:val="12"/>
                <w:color w:val="auto"/>
              </w:rPr>
            </w:pPr>
          </w:p>
        </w:tc>
        <w:tc>
          <w:tcPr>
            <w:tcW w:w="5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(1,535)</w:t>
            </w:r>
          </w:p>
        </w:tc>
        <w:tc>
          <w:tcPr>
            <w:tcW w:w="160" w:type="dxa"/>
            <w:vAlign w:val="bottom"/>
          </w:tcPr>
          <w:p>
            <w:pPr>
              <w:spacing w:after="0"/>
              <w:rPr>
                <w:sz w:val="12"/>
                <w:szCs w:val="12"/>
                <w:color w:val="auto"/>
              </w:rPr>
            </w:pPr>
          </w:p>
        </w:tc>
        <w:tc>
          <w:tcPr>
            <w:tcW w:w="5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(74)</w:t>
            </w:r>
          </w:p>
        </w:tc>
        <w:tc>
          <w:tcPr>
            <w:tcW w:w="140" w:type="dxa"/>
            <w:vAlign w:val="bottom"/>
          </w:tcPr>
          <w:p>
            <w:pPr>
              <w:spacing w:after="0"/>
              <w:rPr>
                <w:sz w:val="12"/>
                <w:szCs w:val="12"/>
                <w:color w:val="auto"/>
              </w:rPr>
            </w:pPr>
          </w:p>
        </w:tc>
        <w:tc>
          <w:tcPr>
            <w:tcW w:w="5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(575)</w:t>
            </w:r>
          </w:p>
        </w:tc>
        <w:tc>
          <w:tcPr>
            <w:tcW w:w="140" w:type="dxa"/>
            <w:vAlign w:val="bottom"/>
          </w:tcPr>
          <w:p>
            <w:pPr>
              <w:spacing w:after="0"/>
              <w:rPr>
                <w:sz w:val="12"/>
                <w:szCs w:val="12"/>
                <w:color w:val="auto"/>
              </w:rPr>
            </w:pP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(237)</w:t>
            </w:r>
          </w:p>
        </w:tc>
        <w:tc>
          <w:tcPr>
            <w:tcW w:w="140" w:type="dxa"/>
            <w:vAlign w:val="bottom"/>
          </w:tcPr>
          <w:p>
            <w:pPr>
              <w:spacing w:after="0"/>
              <w:rPr>
                <w:sz w:val="12"/>
                <w:szCs w:val="12"/>
                <w:color w:val="auto"/>
              </w:rPr>
            </w:pPr>
          </w:p>
        </w:tc>
        <w:tc>
          <w:tcPr>
            <w:tcW w:w="5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(148)</w:t>
            </w:r>
          </w:p>
        </w:tc>
        <w:tc>
          <w:tcPr>
            <w:tcW w:w="180" w:type="dxa"/>
            <w:vAlign w:val="bottom"/>
          </w:tcPr>
          <w:p>
            <w:pPr>
              <w:spacing w:after="0"/>
              <w:rPr>
                <w:sz w:val="12"/>
                <w:szCs w:val="12"/>
                <w:color w:val="auto"/>
              </w:rPr>
            </w:pPr>
          </w:p>
        </w:tc>
        <w:tc>
          <w:tcPr>
            <w:tcW w:w="5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(1,270)</w:t>
            </w:r>
          </w:p>
        </w:tc>
        <w:tc>
          <w:tcPr>
            <w:tcW w:w="120" w:type="dxa"/>
            <w:vAlign w:val="bottom"/>
          </w:tcPr>
          <w:p>
            <w:pPr>
              <w:spacing w:after="0"/>
              <w:rPr>
                <w:sz w:val="12"/>
                <w:szCs w:val="12"/>
                <w:color w:val="auto"/>
              </w:rPr>
            </w:pP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(83)</w:t>
            </w:r>
          </w:p>
        </w:tc>
        <w:tc>
          <w:tcPr>
            <w:tcW w:w="100" w:type="dxa"/>
            <w:vAlign w:val="bottom"/>
          </w:tcPr>
          <w:p>
            <w:pPr>
              <w:spacing w:after="0"/>
              <w:rPr>
                <w:sz w:val="12"/>
                <w:szCs w:val="12"/>
                <w:color w:val="auto"/>
              </w:rPr>
            </w:pP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(9,854)</w:t>
            </w:r>
          </w:p>
        </w:tc>
        <w:tc>
          <w:tcPr>
            <w:tcW w:w="0" w:type="dxa"/>
            <w:vAlign w:val="bottom"/>
          </w:tcPr>
          <w:p>
            <w:pPr>
              <w:spacing w:after="0"/>
              <w:rPr>
                <w:sz w:val="1"/>
                <w:szCs w:val="1"/>
                <w:color w:val="auto"/>
              </w:rPr>
            </w:pPr>
          </w:p>
        </w:tc>
      </w:tr>
      <w:tr>
        <w:trPr>
          <w:trHeight w:val="193"/>
        </w:trPr>
        <w:tc>
          <w:tcPr>
            <w:tcW w:w="154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4"/>
                <w:szCs w:val="14"/>
                <w:color w:val="auto"/>
              </w:rPr>
              <w:t>outflows</w:t>
            </w:r>
          </w:p>
        </w:tc>
        <w:tc>
          <w:tcPr>
            <w:tcW w:w="14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vMerge w:val="continue"/>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1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client cash flows</w:t>
            </w:r>
          </w:p>
        </w:tc>
        <w:tc>
          <w:tcPr>
            <w:tcW w:w="14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(1,624)</w:t>
            </w:r>
          </w:p>
        </w:tc>
        <w:tc>
          <w:tcPr>
            <w:tcW w:w="18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(653)</w:t>
            </w:r>
          </w:p>
        </w:tc>
        <w:tc>
          <w:tcPr>
            <w:tcW w:w="8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(138)</w:t>
            </w: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922</w:t>
            </w:r>
          </w:p>
        </w:tc>
        <w:tc>
          <w:tcPr>
            <w:tcW w:w="18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(928)</w:t>
            </w:r>
          </w:p>
        </w:tc>
        <w:tc>
          <w:tcPr>
            <w:tcW w:w="16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w:t>
            </w:r>
          </w:p>
        </w:tc>
        <w:tc>
          <w:tcPr>
            <w:tcW w:w="14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448</w:t>
            </w: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w:t>
            </w:r>
          </w:p>
        </w:tc>
        <w:tc>
          <w:tcPr>
            <w:tcW w:w="14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w:t>
            </w:r>
          </w:p>
        </w:tc>
        <w:tc>
          <w:tcPr>
            <w:tcW w:w="18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(1,116)</w:t>
            </w: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304</w:t>
            </w: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(2,840)</w:t>
            </w:r>
          </w:p>
        </w:tc>
        <w:tc>
          <w:tcPr>
            <w:tcW w:w="0" w:type="dxa"/>
            <w:vAlign w:val="bottom"/>
          </w:tcPr>
          <w:p>
            <w:pPr>
              <w:spacing w:after="0"/>
              <w:rPr>
                <w:sz w:val="1"/>
                <w:szCs w:val="1"/>
                <w:color w:val="auto"/>
              </w:rPr>
            </w:pPr>
          </w:p>
        </w:tc>
      </w:tr>
      <w:tr>
        <w:trPr>
          <w:trHeight w:val="195"/>
        </w:trPr>
        <w:tc>
          <w:tcPr>
            <w:tcW w:w="154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 xml:space="preserve">Acquisitions </w:t>
            </w:r>
            <w:r>
              <w:rPr>
                <w:rFonts w:ascii="Times New Roman" w:cs="Times New Roman" w:eastAsia="Times New Roman" w:hAnsi="Times New Roman"/>
                <w:sz w:val="9"/>
                <w:szCs w:val="9"/>
                <w:color w:val="auto"/>
              </w:rPr>
              <w:t>(1)</w:t>
            </w:r>
          </w:p>
        </w:tc>
        <w:tc>
          <w:tcPr>
            <w:tcW w:w="14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3"/>
        </w:trPr>
        <w:tc>
          <w:tcPr>
            <w:tcW w:w="1540" w:type="dxa"/>
            <w:vAlign w:val="bottom"/>
            <w:shd w:val="clear" w:color="auto" w:fill="CCEEFF"/>
          </w:tcPr>
          <w:p>
            <w:pPr>
              <w:ind w:left="20"/>
              <w:spacing w:after="0" w:line="174" w:lineRule="exact"/>
              <w:rPr>
                <w:sz w:val="20"/>
                <w:szCs w:val="20"/>
                <w:color w:val="auto"/>
              </w:rPr>
            </w:pPr>
            <w:r>
              <w:rPr>
                <w:rFonts w:ascii="Times New Roman" w:cs="Times New Roman" w:eastAsia="Times New Roman" w:hAnsi="Times New Roman"/>
                <w:sz w:val="14"/>
                <w:szCs w:val="14"/>
                <w:color w:val="auto"/>
              </w:rPr>
              <w:t>Artisan Funds</w:t>
            </w: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45"/>
        </w:trPr>
        <w:tc>
          <w:tcPr>
            <w:tcW w:w="1540" w:type="dxa"/>
            <w:vAlign w:val="bottom"/>
            <w:shd w:val="clear" w:color="auto" w:fill="CCEEFF"/>
          </w:tcPr>
          <w:p>
            <w:pPr>
              <w:ind w:left="20"/>
              <w:spacing w:after="0" w:line="145" w:lineRule="exact"/>
              <w:rPr>
                <w:sz w:val="20"/>
                <w:szCs w:val="20"/>
                <w:color w:val="auto"/>
              </w:rPr>
            </w:pPr>
            <w:r>
              <w:rPr>
                <w:rFonts w:ascii="Times New Roman" w:cs="Times New Roman" w:eastAsia="Times New Roman" w:hAnsi="Times New Roman"/>
                <w:sz w:val="14"/>
                <w:szCs w:val="14"/>
                <w:color w:val="auto"/>
              </w:rPr>
              <w:t>distributions not</w:t>
            </w:r>
          </w:p>
        </w:tc>
        <w:tc>
          <w:tcPr>
            <w:tcW w:w="140" w:type="dxa"/>
            <w:vAlign w:val="bottom"/>
            <w:shd w:val="clear" w:color="auto" w:fill="CCEEFF"/>
          </w:tcPr>
          <w:p>
            <w:pPr>
              <w:spacing w:after="0"/>
              <w:rPr>
                <w:sz w:val="12"/>
                <w:szCs w:val="12"/>
                <w:color w:val="auto"/>
              </w:rPr>
            </w:pPr>
          </w:p>
        </w:tc>
        <w:tc>
          <w:tcPr>
            <w:tcW w:w="6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2"/>
                <w:szCs w:val="12"/>
                <w:color w:val="auto"/>
              </w:rPr>
            </w:pPr>
          </w:p>
        </w:tc>
        <w:tc>
          <w:tcPr>
            <w:tcW w:w="5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6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6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w:t>
            </w:r>
          </w:p>
        </w:tc>
        <w:tc>
          <w:tcPr>
            <w:tcW w:w="180" w:type="dxa"/>
            <w:vAlign w:val="bottom"/>
            <w:shd w:val="clear" w:color="auto" w:fill="CCEEFF"/>
          </w:tcPr>
          <w:p>
            <w:pPr>
              <w:spacing w:after="0"/>
              <w:rPr>
                <w:sz w:val="12"/>
                <w:szCs w:val="12"/>
                <w:color w:val="auto"/>
              </w:rPr>
            </w:pPr>
          </w:p>
        </w:tc>
        <w:tc>
          <w:tcPr>
            <w:tcW w:w="5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5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5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(91)</w:t>
            </w:r>
          </w:p>
        </w:tc>
        <w:tc>
          <w:tcPr>
            <w:tcW w:w="140" w:type="dxa"/>
            <w:vAlign w:val="bottom"/>
            <w:shd w:val="clear" w:color="auto" w:fill="CCEEFF"/>
          </w:tcPr>
          <w:p>
            <w:pPr>
              <w:spacing w:after="0"/>
              <w:rPr>
                <w:sz w:val="12"/>
                <w:szCs w:val="12"/>
                <w:color w:val="auto"/>
              </w:rPr>
            </w:pP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5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2"/>
                <w:szCs w:val="12"/>
                <w:color w:val="auto"/>
              </w:rPr>
            </w:pPr>
          </w:p>
        </w:tc>
        <w:tc>
          <w:tcPr>
            <w:tcW w:w="5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6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shd w:val="clear" w:color="auto" w:fill="CCEEFF"/>
          </w:tcPr>
          <w:p>
            <w:pPr>
              <w:spacing w:after="0"/>
              <w:rPr>
                <w:sz w:val="12"/>
                <w:szCs w:val="12"/>
                <w:color w:val="auto"/>
              </w:rPr>
            </w:pPr>
          </w:p>
        </w:tc>
        <w:tc>
          <w:tcPr>
            <w:tcW w:w="6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2"/>
                <w:szCs w:val="12"/>
                <w:color w:val="auto"/>
              </w:rPr>
            </w:pPr>
          </w:p>
        </w:tc>
        <w:tc>
          <w:tcPr>
            <w:tcW w:w="6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(116)</w:t>
            </w:r>
          </w:p>
        </w:tc>
        <w:tc>
          <w:tcPr>
            <w:tcW w:w="0" w:type="dxa"/>
            <w:vAlign w:val="bottom"/>
          </w:tcPr>
          <w:p>
            <w:pPr>
              <w:spacing w:after="0"/>
              <w:rPr>
                <w:sz w:val="1"/>
                <w:szCs w:val="1"/>
                <w:color w:val="auto"/>
              </w:rPr>
            </w:pPr>
          </w:p>
        </w:tc>
      </w:tr>
      <w:tr>
        <w:trPr>
          <w:trHeight w:val="201"/>
        </w:trPr>
        <w:tc>
          <w:tcPr>
            <w:tcW w:w="1540" w:type="dxa"/>
            <w:vAlign w:val="bottom"/>
            <w:shd w:val="clear" w:color="auto" w:fill="CCEEFF"/>
          </w:tcPr>
          <w:p>
            <w:pPr>
              <w:ind w:left="20"/>
              <w:spacing w:after="0" w:line="201" w:lineRule="exact"/>
              <w:rPr>
                <w:sz w:val="20"/>
                <w:szCs w:val="20"/>
                <w:color w:val="auto"/>
              </w:rPr>
            </w:pPr>
            <w:r>
              <w:rPr>
                <w:rFonts w:ascii="Times New Roman" w:cs="Times New Roman" w:eastAsia="Times New Roman" w:hAnsi="Times New Roman"/>
                <w:sz w:val="14"/>
                <w:szCs w:val="14"/>
                <w:color w:val="auto"/>
              </w:rPr>
              <w:t xml:space="preserve">reinvested </w:t>
            </w:r>
            <w:r>
              <w:rPr>
                <w:rFonts w:ascii="Times New Roman" w:cs="Times New Roman" w:eastAsia="Times New Roman" w:hAnsi="Times New Roman"/>
                <w:sz w:val="18"/>
                <w:szCs w:val="18"/>
                <w:color w:val="auto"/>
                <w:vertAlign w:val="superscript"/>
              </w:rPr>
              <w:t>(2)</w:t>
            </w:r>
          </w:p>
        </w:tc>
        <w:tc>
          <w:tcPr>
            <w:tcW w:w="140" w:type="dxa"/>
            <w:vAlign w:val="bottom"/>
            <w:shd w:val="clear" w:color="auto" w:fill="CCEEFF"/>
          </w:tcPr>
          <w:p>
            <w:pPr>
              <w:spacing w:after="0"/>
              <w:rPr>
                <w:sz w:val="17"/>
                <w:szCs w:val="17"/>
                <w:color w:val="auto"/>
              </w:rPr>
            </w:pPr>
          </w:p>
        </w:tc>
        <w:tc>
          <w:tcPr>
            <w:tcW w:w="600" w:type="dxa"/>
            <w:vAlign w:val="bottom"/>
            <w:vMerge w:val="continue"/>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6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2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vMerge w:val="continue"/>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60" w:type="dxa"/>
            <w:vAlign w:val="bottom"/>
            <w:vMerge w:val="continue"/>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40" w:type="dxa"/>
            <w:vAlign w:val="bottom"/>
            <w:vMerge w:val="continue"/>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80" w:type="dxa"/>
            <w:vAlign w:val="bottom"/>
            <w:vMerge w:val="continue"/>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vMerge w:val="continue"/>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60" w:type="dxa"/>
            <w:vAlign w:val="bottom"/>
            <w:vMerge w:val="continue"/>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2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vMerge w:val="continue"/>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2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39"/>
        </w:trPr>
        <w:tc>
          <w:tcPr>
            <w:tcW w:w="1540" w:type="dxa"/>
            <w:vAlign w:val="bottom"/>
          </w:tcPr>
          <w:p>
            <w:pPr>
              <w:ind w:left="20"/>
              <w:spacing w:after="0" w:line="139" w:lineRule="exact"/>
              <w:rPr>
                <w:sz w:val="20"/>
                <w:szCs w:val="20"/>
                <w:color w:val="auto"/>
              </w:rPr>
            </w:pPr>
            <w:r>
              <w:rPr>
                <w:rFonts w:ascii="Times New Roman" w:cs="Times New Roman" w:eastAsia="Times New Roman" w:hAnsi="Times New Roman"/>
                <w:sz w:val="14"/>
                <w:szCs w:val="14"/>
                <w:color w:val="auto"/>
              </w:rPr>
              <w:t>Investment returns and</w:t>
            </w:r>
          </w:p>
        </w:tc>
        <w:tc>
          <w:tcPr>
            <w:tcW w:w="140" w:type="dxa"/>
            <w:vAlign w:val="bottom"/>
          </w:tcPr>
          <w:p>
            <w:pPr>
              <w:spacing w:after="0"/>
              <w:rPr>
                <w:sz w:val="12"/>
                <w:szCs w:val="12"/>
                <w:color w:val="auto"/>
              </w:rPr>
            </w:pP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(2,152)</w:t>
            </w:r>
          </w:p>
        </w:tc>
        <w:tc>
          <w:tcPr>
            <w:tcW w:w="180" w:type="dxa"/>
            <w:vAlign w:val="bottom"/>
          </w:tcPr>
          <w:p>
            <w:pPr>
              <w:spacing w:after="0"/>
              <w:rPr>
                <w:sz w:val="12"/>
                <w:szCs w:val="12"/>
                <w:color w:val="auto"/>
              </w:rPr>
            </w:pPr>
          </w:p>
        </w:tc>
        <w:tc>
          <w:tcPr>
            <w:tcW w:w="5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1,161</w:t>
            </w:r>
          </w:p>
        </w:tc>
        <w:tc>
          <w:tcPr>
            <w:tcW w:w="80" w:type="dxa"/>
            <w:vAlign w:val="bottom"/>
          </w:tcPr>
          <w:p>
            <w:pPr>
              <w:spacing w:after="0"/>
              <w:rPr>
                <w:sz w:val="12"/>
                <w:szCs w:val="12"/>
                <w:color w:val="auto"/>
              </w:rPr>
            </w:pP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81</w:t>
            </w:r>
          </w:p>
        </w:tc>
        <w:tc>
          <w:tcPr>
            <w:tcW w:w="100" w:type="dxa"/>
            <w:vAlign w:val="bottom"/>
          </w:tcPr>
          <w:p>
            <w:pPr>
              <w:spacing w:after="0"/>
              <w:rPr>
                <w:sz w:val="12"/>
                <w:szCs w:val="12"/>
                <w:color w:val="auto"/>
              </w:rPr>
            </w:pP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2,293</w:t>
            </w:r>
          </w:p>
        </w:tc>
        <w:tc>
          <w:tcPr>
            <w:tcW w:w="180" w:type="dxa"/>
            <w:vAlign w:val="bottom"/>
          </w:tcPr>
          <w:p>
            <w:pPr>
              <w:spacing w:after="0"/>
              <w:rPr>
                <w:sz w:val="12"/>
                <w:szCs w:val="12"/>
                <w:color w:val="auto"/>
              </w:rPr>
            </w:pPr>
          </w:p>
        </w:tc>
        <w:tc>
          <w:tcPr>
            <w:tcW w:w="5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2,505</w:t>
            </w:r>
          </w:p>
        </w:tc>
        <w:tc>
          <w:tcPr>
            <w:tcW w:w="160" w:type="dxa"/>
            <w:vAlign w:val="bottom"/>
          </w:tcPr>
          <w:p>
            <w:pPr>
              <w:spacing w:after="0"/>
              <w:rPr>
                <w:sz w:val="12"/>
                <w:szCs w:val="12"/>
                <w:color w:val="auto"/>
              </w:rPr>
            </w:pPr>
          </w:p>
        </w:tc>
        <w:tc>
          <w:tcPr>
            <w:tcW w:w="5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58</w:t>
            </w:r>
          </w:p>
        </w:tc>
        <w:tc>
          <w:tcPr>
            <w:tcW w:w="140" w:type="dxa"/>
            <w:vAlign w:val="bottom"/>
          </w:tcPr>
          <w:p>
            <w:pPr>
              <w:spacing w:after="0"/>
              <w:rPr>
                <w:sz w:val="12"/>
                <w:szCs w:val="12"/>
                <w:color w:val="auto"/>
              </w:rPr>
            </w:pPr>
          </w:p>
        </w:tc>
        <w:tc>
          <w:tcPr>
            <w:tcW w:w="5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135</w:t>
            </w:r>
          </w:p>
        </w:tc>
        <w:tc>
          <w:tcPr>
            <w:tcW w:w="140" w:type="dxa"/>
            <w:vAlign w:val="bottom"/>
          </w:tcPr>
          <w:p>
            <w:pPr>
              <w:spacing w:after="0"/>
              <w:rPr>
                <w:sz w:val="12"/>
                <w:szCs w:val="12"/>
                <w:color w:val="auto"/>
              </w:rPr>
            </w:pP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66</w:t>
            </w:r>
          </w:p>
        </w:tc>
        <w:tc>
          <w:tcPr>
            <w:tcW w:w="140" w:type="dxa"/>
            <w:vAlign w:val="bottom"/>
          </w:tcPr>
          <w:p>
            <w:pPr>
              <w:spacing w:after="0"/>
              <w:rPr>
                <w:sz w:val="12"/>
                <w:szCs w:val="12"/>
                <w:color w:val="auto"/>
              </w:rPr>
            </w:pPr>
          </w:p>
        </w:tc>
        <w:tc>
          <w:tcPr>
            <w:tcW w:w="5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(39)</w:t>
            </w:r>
          </w:p>
        </w:tc>
        <w:tc>
          <w:tcPr>
            <w:tcW w:w="180" w:type="dxa"/>
            <w:vAlign w:val="bottom"/>
          </w:tcPr>
          <w:p>
            <w:pPr>
              <w:spacing w:after="0"/>
              <w:rPr>
                <w:sz w:val="12"/>
                <w:szCs w:val="12"/>
                <w:color w:val="auto"/>
              </w:rPr>
            </w:pPr>
          </w:p>
        </w:tc>
        <w:tc>
          <w:tcPr>
            <w:tcW w:w="5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(75)</w:t>
            </w:r>
          </w:p>
        </w:tc>
        <w:tc>
          <w:tcPr>
            <w:tcW w:w="120" w:type="dxa"/>
            <w:vAlign w:val="bottom"/>
          </w:tcPr>
          <w:p>
            <w:pPr>
              <w:spacing w:after="0"/>
              <w:rPr>
                <w:sz w:val="12"/>
                <w:szCs w:val="12"/>
                <w:color w:val="auto"/>
              </w:rPr>
            </w:pP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105</w:t>
            </w:r>
          </w:p>
        </w:tc>
        <w:tc>
          <w:tcPr>
            <w:tcW w:w="100" w:type="dxa"/>
            <w:vAlign w:val="bottom"/>
          </w:tcPr>
          <w:p>
            <w:pPr>
              <w:spacing w:after="0"/>
              <w:rPr>
                <w:sz w:val="12"/>
                <w:szCs w:val="12"/>
                <w:color w:val="auto"/>
              </w:rPr>
            </w:pP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4,138</w:t>
            </w:r>
          </w:p>
        </w:tc>
        <w:tc>
          <w:tcPr>
            <w:tcW w:w="0" w:type="dxa"/>
            <w:vAlign w:val="bottom"/>
          </w:tcPr>
          <w:p>
            <w:pPr>
              <w:spacing w:after="0"/>
              <w:rPr>
                <w:sz w:val="1"/>
                <w:szCs w:val="1"/>
                <w:color w:val="auto"/>
              </w:rPr>
            </w:pPr>
          </w:p>
        </w:tc>
      </w:tr>
      <w:tr>
        <w:trPr>
          <w:trHeight w:val="193"/>
        </w:trPr>
        <w:tc>
          <w:tcPr>
            <w:tcW w:w="15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other</w:t>
            </w:r>
          </w:p>
        </w:tc>
        <w:tc>
          <w:tcPr>
            <w:tcW w:w="14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vMerge w:val="continue"/>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6"/>
        </w:trPr>
        <w:tc>
          <w:tcPr>
            <w:tcW w:w="15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Ending AUM</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34,669</w:t>
            </w:r>
          </w:p>
        </w:tc>
        <w:tc>
          <w:tcPr>
            <w:tcW w:w="1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13,442</w:t>
            </w: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7,540</w:t>
            </w: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47,486</w:t>
            </w:r>
          </w:p>
        </w:tc>
        <w:tc>
          <w:tcPr>
            <w:tcW w:w="1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30,256</w:t>
            </w:r>
          </w:p>
        </w:tc>
        <w:tc>
          <w:tcPr>
            <w:tcW w:w="16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1,625</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12,434</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4,147</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2,121</w:t>
            </w:r>
          </w:p>
        </w:tc>
        <w:tc>
          <w:tcPr>
            <w:tcW w:w="1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5,353</w:t>
            </w:r>
          </w:p>
        </w:tc>
        <w:tc>
          <w:tcPr>
            <w:tcW w:w="1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3,317</w:t>
            </w: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162,390</w:t>
            </w:r>
          </w:p>
        </w:tc>
        <w:tc>
          <w:tcPr>
            <w:tcW w:w="0" w:type="dxa"/>
            <w:vAlign w:val="bottom"/>
          </w:tcPr>
          <w:p>
            <w:pPr>
              <w:spacing w:after="0"/>
              <w:rPr>
                <w:sz w:val="1"/>
                <w:szCs w:val="1"/>
                <w:color w:val="auto"/>
              </w:rPr>
            </w:pPr>
          </w:p>
        </w:tc>
      </w:tr>
      <w:tr>
        <w:trPr>
          <w:trHeight w:val="20"/>
        </w:trPr>
        <w:tc>
          <w:tcPr>
            <w:tcW w:w="15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15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Average AUM</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38,677</w:t>
            </w:r>
          </w:p>
        </w:tc>
        <w:tc>
          <w:tcPr>
            <w:tcW w:w="1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13,708</w:t>
            </w: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7,700</w:t>
            </w: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46,495</w:t>
            </w:r>
          </w:p>
        </w:tc>
        <w:tc>
          <w:tcPr>
            <w:tcW w:w="1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30,385</w:t>
            </w:r>
          </w:p>
        </w:tc>
        <w:tc>
          <w:tcPr>
            <w:tcW w:w="16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1,614</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12,252</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4,287</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2,259</w:t>
            </w:r>
          </w:p>
        </w:tc>
        <w:tc>
          <w:tcPr>
            <w:tcW w:w="1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6,260</w:t>
            </w:r>
          </w:p>
        </w:tc>
        <w:tc>
          <w:tcPr>
            <w:tcW w:w="1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3,106</w:t>
            </w: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166,743</w:t>
            </w:r>
          </w:p>
        </w:tc>
        <w:tc>
          <w:tcPr>
            <w:tcW w:w="0" w:type="dxa"/>
            <w:vAlign w:val="bottom"/>
          </w:tcPr>
          <w:p>
            <w:pPr>
              <w:spacing w:after="0"/>
              <w:rPr>
                <w:sz w:val="1"/>
                <w:szCs w:val="1"/>
                <w:color w:val="auto"/>
              </w:rPr>
            </w:pPr>
          </w:p>
        </w:tc>
      </w:tr>
      <w:tr>
        <w:trPr>
          <w:trHeight w:val="20"/>
        </w:trPr>
        <w:tc>
          <w:tcPr>
            <w:tcW w:w="15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72" w:lineRule="exact"/>
        <w:rPr>
          <w:sz w:val="20"/>
          <w:szCs w:val="20"/>
          <w:color w:val="auto"/>
        </w:rPr>
      </w:pPr>
    </w:p>
    <w:p>
      <w:pPr>
        <w:ind w:left="180" w:hanging="154"/>
        <w:spacing w:after="0"/>
        <w:tabs>
          <w:tab w:leader="none" w:pos="180" w:val="left"/>
        </w:tabs>
        <w:numPr>
          <w:ilvl w:val="0"/>
          <w:numId w:val="21"/>
        </w:numPr>
        <w:rPr>
          <w:rFonts w:ascii="Times New Roman" w:cs="Times New Roman" w:eastAsia="Times New Roman" w:hAnsi="Times New Roman"/>
          <w:sz w:val="9"/>
          <w:szCs w:val="9"/>
          <w:color w:val="auto"/>
        </w:rPr>
      </w:pPr>
      <w:r>
        <w:rPr>
          <w:rFonts w:ascii="Times New Roman" w:cs="Times New Roman" w:eastAsia="Times New Roman" w:hAnsi="Times New Roman"/>
          <w:sz w:val="14"/>
          <w:szCs w:val="14"/>
          <w:color w:val="auto"/>
        </w:rPr>
        <w:t>Represents assets acquired upon the closing of the Grandview Property Partners acquisition.</w:t>
      </w:r>
    </w:p>
    <w:p>
      <w:pPr>
        <w:spacing w:after="0" w:line="90" w:lineRule="exact"/>
        <w:rPr>
          <w:rFonts w:ascii="Times New Roman" w:cs="Times New Roman" w:eastAsia="Times New Roman" w:hAnsi="Times New Roman"/>
          <w:sz w:val="9"/>
          <w:szCs w:val="9"/>
          <w:color w:val="auto"/>
        </w:rPr>
      </w:pPr>
    </w:p>
    <w:p>
      <w:pPr>
        <w:ind w:left="160" w:hanging="134"/>
        <w:spacing w:after="0"/>
        <w:tabs>
          <w:tab w:leader="none" w:pos="160" w:val="left"/>
        </w:tabs>
        <w:numPr>
          <w:ilvl w:val="0"/>
          <w:numId w:val="21"/>
        </w:numPr>
        <w:rPr>
          <w:rFonts w:ascii="Times New Roman" w:cs="Times New Roman" w:eastAsia="Times New Roman" w:hAnsi="Times New Roman"/>
          <w:sz w:val="9"/>
          <w:szCs w:val="9"/>
          <w:color w:val="auto"/>
        </w:rPr>
      </w:pPr>
      <w:r>
        <w:rPr>
          <w:rFonts w:ascii="Times New Roman" w:cs="Times New Roman" w:eastAsia="Times New Roman" w:hAnsi="Times New Roman"/>
          <w:sz w:val="14"/>
          <w:szCs w:val="14"/>
          <w:color w:val="auto"/>
        </w:rPr>
        <w:t>Artisan Funds</w:t>
      </w:r>
      <w:r>
        <w:rPr>
          <w:rFonts w:ascii="Times New Roman" w:cs="Times New Roman" w:eastAsia="Times New Roman" w:hAnsi="Times New Roman"/>
          <w:sz w:val="16"/>
          <w:szCs w:val="16"/>
          <w:color w:val="auto"/>
        </w:rPr>
        <w:t>’</w:t>
      </w:r>
      <w:r>
        <w:rPr>
          <w:rFonts w:ascii="Times New Roman" w:cs="Times New Roman" w:eastAsia="Times New Roman" w:hAnsi="Times New Roman"/>
          <w:sz w:val="14"/>
          <w:szCs w:val="14"/>
          <w:color w:val="auto"/>
        </w:rPr>
        <w:t xml:space="preserve"> distributions not reinvested represents the amount of income and capital gain distributions that were not reinvested in the Artisan Funds.</w:t>
      </w:r>
    </w:p>
    <w:p>
      <w:pPr>
        <w:spacing w:after="0" w:line="63" w:lineRule="exact"/>
        <w:rPr>
          <w:rFonts w:ascii="Times New Roman" w:cs="Times New Roman" w:eastAsia="Times New Roman" w:hAnsi="Times New Roman"/>
          <w:sz w:val="9"/>
          <w:szCs w:val="9"/>
          <w:color w:val="auto"/>
        </w:rPr>
      </w:pPr>
    </w:p>
    <w:p>
      <w:pPr>
        <w:ind w:left="180" w:hanging="154"/>
        <w:spacing w:after="0"/>
        <w:tabs>
          <w:tab w:leader="none" w:pos="180" w:val="left"/>
        </w:tabs>
        <w:numPr>
          <w:ilvl w:val="0"/>
          <w:numId w:val="21"/>
        </w:numPr>
        <w:rPr>
          <w:rFonts w:ascii="Times New Roman" w:cs="Times New Roman" w:eastAsia="Times New Roman" w:hAnsi="Times New Roman"/>
          <w:sz w:val="9"/>
          <w:szCs w:val="9"/>
          <w:color w:val="auto"/>
        </w:rPr>
      </w:pPr>
      <w:r>
        <w:rPr>
          <w:rFonts w:ascii="Times New Roman" w:cs="Times New Roman" w:eastAsia="Times New Roman" w:hAnsi="Times New Roman"/>
          <w:sz w:val="14"/>
          <w:szCs w:val="14"/>
          <w:color w:val="auto"/>
        </w:rPr>
        <w:t>For Grandview Property Partners, average assets under management is for the period beginning January 2, 2026, when the team was acquired.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right="560"/>
        <w:spacing w:after="0" w:line="272" w:lineRule="auto"/>
        <w:rPr>
          <w:sz w:val="20"/>
          <w:szCs w:val="20"/>
          <w:color w:val="auto"/>
        </w:rPr>
      </w:pPr>
      <w:r>
        <w:rPr>
          <w:rFonts w:ascii="Times New Roman" w:cs="Times New Roman" w:eastAsia="Times New Roman" w:hAnsi="Times New Roman"/>
          <w:sz w:val="16"/>
          <w:szCs w:val="16"/>
          <w:color w:val="auto"/>
        </w:rPr>
        <w:t>The goal of our marketing, distribution and client services efforts is to establish and maintain a client base that is diversified by investment strategy, client type and distribution channel. As distribution channels have evolved to have more institutional-like decision-making processes and longer-term investment horizons, we have expanded our distribution efforts into those areas.</w:t>
      </w:r>
    </w:p>
    <w:p>
      <w:pPr>
        <w:spacing w:after="0" w:line="6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160" w:type="dxa"/>
            <w:vAlign w:val="bottom"/>
          </w:tcPr>
          <w:p>
            <w:pPr>
              <w:spacing w:after="0"/>
              <w:rPr>
                <w:sz w:val="20"/>
                <w:szCs w:val="20"/>
                <w:color w:val="auto"/>
              </w:rPr>
            </w:pPr>
            <w:r>
              <w:rPr>
                <w:rFonts w:ascii="Times New Roman" w:cs="Times New Roman" w:eastAsia="Times New Roman" w:hAnsi="Times New Roman"/>
                <w:sz w:val="16"/>
                <w:szCs w:val="16"/>
                <w:color w:val="auto"/>
              </w:rPr>
              <w:t>The table below sets forth our AUM by distribution channel:</w:t>
            </w:r>
          </w:p>
        </w:tc>
        <w:tc>
          <w:tcPr>
            <w:tcW w:w="2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40" w:type="dxa"/>
            <w:vAlign w:val="bottom"/>
          </w:tcPr>
          <w:p>
            <w:pPr>
              <w:spacing w:after="0"/>
              <w:rPr>
                <w:sz w:val="18"/>
                <w:szCs w:val="18"/>
                <w:color w:val="auto"/>
              </w:rPr>
            </w:pPr>
          </w:p>
        </w:tc>
      </w:tr>
      <w:tr>
        <w:trPr>
          <w:trHeight w:val="246"/>
        </w:trPr>
        <w:tc>
          <w:tcPr>
            <w:tcW w:w="41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360" w:type="dxa"/>
            <w:vAlign w:val="bottom"/>
            <w:gridSpan w:val="4"/>
          </w:tcPr>
          <w:p>
            <w:pPr>
              <w:ind w:left="760"/>
              <w:spacing w:after="0"/>
              <w:rPr>
                <w:sz w:val="20"/>
                <w:szCs w:val="20"/>
                <w:color w:val="auto"/>
              </w:rPr>
            </w:pPr>
            <w:r>
              <w:rPr>
                <w:rFonts w:ascii="Times New Roman" w:cs="Times New Roman" w:eastAsia="Times New Roman" w:hAnsi="Times New Roman"/>
                <w:sz w:val="16"/>
                <w:szCs w:val="16"/>
                <w:b w:val="1"/>
                <w:bCs w:val="1"/>
                <w:color w:val="auto"/>
              </w:rPr>
              <w:t>As of March 31, 2026</w:t>
            </w:r>
          </w:p>
        </w:tc>
        <w:tc>
          <w:tcPr>
            <w:tcW w:w="240" w:type="dxa"/>
            <w:vAlign w:val="bottom"/>
          </w:tcPr>
          <w:p>
            <w:pPr>
              <w:spacing w:after="0"/>
              <w:rPr>
                <w:sz w:val="21"/>
                <w:szCs w:val="21"/>
                <w:color w:val="auto"/>
              </w:rPr>
            </w:pPr>
          </w:p>
        </w:tc>
        <w:tc>
          <w:tcPr>
            <w:tcW w:w="3240" w:type="dxa"/>
            <w:vAlign w:val="bottom"/>
            <w:gridSpan w:val="3"/>
          </w:tcPr>
          <w:p>
            <w:pPr>
              <w:jc w:val="right"/>
              <w:ind w:right="919"/>
              <w:spacing w:after="0"/>
              <w:rPr>
                <w:sz w:val="20"/>
                <w:szCs w:val="20"/>
                <w:color w:val="auto"/>
              </w:rPr>
            </w:pPr>
            <w:r>
              <w:rPr>
                <w:rFonts w:ascii="Times New Roman" w:cs="Times New Roman" w:eastAsia="Times New Roman" w:hAnsi="Times New Roman"/>
                <w:sz w:val="16"/>
                <w:szCs w:val="16"/>
                <w:b w:val="1"/>
                <w:bCs w:val="1"/>
                <w:color w:val="auto"/>
              </w:rPr>
              <w:t>As of March 31, 2025</w:t>
            </w:r>
          </w:p>
        </w:tc>
      </w:tr>
      <w:tr>
        <w:trPr>
          <w:trHeight w:val="209"/>
        </w:trPr>
        <w:tc>
          <w:tcPr>
            <w:tcW w:w="416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500" w:type="dxa"/>
            <w:vAlign w:val="bottom"/>
            <w:tcBorders>
              <w:top w:val="single" w:sz="8" w:color="auto"/>
            </w:tcBorders>
            <w:gridSpan w:val="2"/>
          </w:tcPr>
          <w:p>
            <w:pPr>
              <w:ind w:left="140"/>
              <w:spacing w:after="0"/>
              <w:rPr>
                <w:sz w:val="20"/>
                <w:szCs w:val="20"/>
                <w:color w:val="auto"/>
              </w:rPr>
            </w:pPr>
            <w:r>
              <w:rPr>
                <w:rFonts w:ascii="Times New Roman" w:cs="Times New Roman" w:eastAsia="Times New Roman" w:hAnsi="Times New Roman"/>
                <w:sz w:val="16"/>
                <w:szCs w:val="16"/>
                <w:b w:val="1"/>
                <w:bCs w:val="1"/>
                <w:color w:val="auto"/>
              </w:rPr>
              <w:t>$ in Millions</w:t>
            </w:r>
          </w:p>
        </w:tc>
        <w:tc>
          <w:tcPr>
            <w:tcW w:w="1740" w:type="dxa"/>
            <w:vAlign w:val="bottom"/>
            <w:tcBorders>
              <w:top w:val="single" w:sz="8" w:color="auto"/>
            </w:tcBorders>
          </w:tcPr>
          <w:p>
            <w:pPr>
              <w:jc w:val="right"/>
              <w:ind w:right="419"/>
              <w:spacing w:after="0"/>
              <w:rPr>
                <w:sz w:val="20"/>
                <w:szCs w:val="20"/>
                <w:color w:val="auto"/>
              </w:rPr>
            </w:pPr>
            <w:r>
              <w:rPr>
                <w:rFonts w:ascii="Times New Roman" w:cs="Times New Roman" w:eastAsia="Times New Roman" w:hAnsi="Times New Roman"/>
                <w:sz w:val="16"/>
                <w:szCs w:val="16"/>
                <w:b w:val="1"/>
                <w:bCs w:val="1"/>
                <w:color w:val="auto"/>
              </w:rPr>
              <w:t>% of Total</w:t>
            </w:r>
          </w:p>
        </w:tc>
        <w:tc>
          <w:tcPr>
            <w:tcW w:w="1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500" w:type="dxa"/>
            <w:vAlign w:val="bottom"/>
            <w:tcBorders>
              <w:top w:val="single" w:sz="8" w:color="auto"/>
            </w:tcBorders>
            <w:gridSpan w:val="2"/>
          </w:tcPr>
          <w:p>
            <w:pPr>
              <w:ind w:left="140"/>
              <w:spacing w:after="0"/>
              <w:rPr>
                <w:sz w:val="20"/>
                <w:szCs w:val="20"/>
                <w:color w:val="auto"/>
              </w:rPr>
            </w:pPr>
            <w:r>
              <w:rPr>
                <w:rFonts w:ascii="Times New Roman" w:cs="Times New Roman" w:eastAsia="Times New Roman" w:hAnsi="Times New Roman"/>
                <w:sz w:val="16"/>
                <w:szCs w:val="16"/>
                <w:b w:val="1"/>
                <w:bCs w:val="1"/>
                <w:color w:val="auto"/>
              </w:rPr>
              <w:t>$ in Millions</w:t>
            </w:r>
          </w:p>
        </w:tc>
        <w:tc>
          <w:tcPr>
            <w:tcW w:w="1740" w:type="dxa"/>
            <w:vAlign w:val="bottom"/>
            <w:tcBorders>
              <w:top w:val="single" w:sz="8" w:color="auto"/>
            </w:tcBorders>
          </w:tcPr>
          <w:p>
            <w:pPr>
              <w:jc w:val="right"/>
              <w:ind w:right="419"/>
              <w:spacing w:after="0"/>
              <w:rPr>
                <w:sz w:val="20"/>
                <w:szCs w:val="20"/>
                <w:color w:val="auto"/>
              </w:rPr>
            </w:pPr>
            <w:r>
              <w:rPr>
                <w:rFonts w:ascii="Times New Roman" w:cs="Times New Roman" w:eastAsia="Times New Roman" w:hAnsi="Times New Roman"/>
                <w:sz w:val="16"/>
                <w:szCs w:val="16"/>
                <w:b w:val="1"/>
                <w:bCs w:val="1"/>
                <w:color w:val="auto"/>
              </w:rPr>
              <w:t>% of Total</w:t>
            </w:r>
          </w:p>
        </w:tc>
      </w:tr>
      <w:tr>
        <w:trPr>
          <w:trHeight w:val="213"/>
        </w:trPr>
        <w:tc>
          <w:tcPr>
            <w:tcW w:w="4160" w:type="dxa"/>
            <w:vAlign w:val="bottom"/>
          </w:tcPr>
          <w:p>
            <w:pPr>
              <w:ind w:left="60"/>
              <w:spacing w:after="0" w:line="213" w:lineRule="exact"/>
              <w:rPr>
                <w:sz w:val="20"/>
                <w:szCs w:val="20"/>
                <w:color w:val="auto"/>
              </w:rPr>
            </w:pPr>
            <w:r>
              <w:rPr>
                <w:rFonts w:ascii="Times New Roman" w:cs="Times New Roman" w:eastAsia="Times New Roman" w:hAnsi="Times New Roman"/>
                <w:sz w:val="16"/>
                <w:szCs w:val="16"/>
                <w:b w:val="1"/>
                <w:bCs w:val="1"/>
                <w:color w:val="auto"/>
              </w:rPr>
              <w:t xml:space="preserve">Distribution Channel </w:t>
            </w:r>
            <w:r>
              <w:rPr>
                <w:rFonts w:ascii="Times New Roman" w:cs="Times New Roman" w:eastAsia="Times New Roman" w:hAnsi="Times New Roman"/>
                <w:sz w:val="21"/>
                <w:szCs w:val="21"/>
                <w:b w:val="1"/>
                <w:bCs w:val="1"/>
                <w:color w:val="auto"/>
                <w:vertAlign w:val="superscript"/>
              </w:rPr>
              <w:t>(1)</w:t>
            </w:r>
          </w:p>
        </w:tc>
        <w:tc>
          <w:tcPr>
            <w:tcW w:w="240" w:type="dxa"/>
            <w:vAlign w:val="bottom"/>
            <w:tcBorders>
              <w:top w:val="single" w:sz="8" w:color="auto"/>
            </w:tcBorders>
          </w:tcPr>
          <w:p>
            <w:pPr>
              <w:spacing w:after="0"/>
              <w:rPr>
                <w:sz w:val="18"/>
                <w:szCs w:val="18"/>
                <w:color w:val="auto"/>
              </w:rPr>
            </w:pPr>
          </w:p>
        </w:tc>
        <w:tc>
          <w:tcPr>
            <w:tcW w:w="1380" w:type="dxa"/>
            <w:vAlign w:val="bottom"/>
            <w:tcBorders>
              <w:top w:val="single" w:sz="8" w:color="auto"/>
            </w:tcBorders>
          </w:tcPr>
          <w:p>
            <w:pPr>
              <w:jc w:val="right"/>
              <w:ind w:right="359"/>
              <w:spacing w:after="0"/>
              <w:rPr>
                <w:sz w:val="20"/>
                <w:szCs w:val="20"/>
                <w:color w:val="auto"/>
              </w:rPr>
            </w:pPr>
            <w:r>
              <w:rPr>
                <w:rFonts w:ascii="Times New Roman" w:cs="Times New Roman" w:eastAsia="Times New Roman" w:hAnsi="Times New Roman"/>
                <w:sz w:val="16"/>
                <w:szCs w:val="16"/>
                <w:color w:val="auto"/>
              </w:rPr>
              <w:t>(unaudited)</w:t>
            </w:r>
          </w:p>
        </w:tc>
        <w:tc>
          <w:tcPr>
            <w:tcW w:w="120" w:type="dxa"/>
            <w:vAlign w:val="bottom"/>
          </w:tcPr>
          <w:p>
            <w:pPr>
              <w:spacing w:after="0"/>
              <w:rPr>
                <w:sz w:val="18"/>
                <w:szCs w:val="18"/>
                <w:color w:val="auto"/>
              </w:rPr>
            </w:pPr>
          </w:p>
        </w:tc>
        <w:tc>
          <w:tcPr>
            <w:tcW w:w="17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380" w:type="dxa"/>
            <w:vAlign w:val="bottom"/>
            <w:tcBorders>
              <w:top w:val="single" w:sz="8" w:color="auto"/>
            </w:tcBorders>
          </w:tcPr>
          <w:p>
            <w:pPr>
              <w:jc w:val="right"/>
              <w:ind w:right="359"/>
              <w:spacing w:after="0"/>
              <w:rPr>
                <w:sz w:val="20"/>
                <w:szCs w:val="20"/>
                <w:color w:val="auto"/>
              </w:rPr>
            </w:pPr>
            <w:r>
              <w:rPr>
                <w:rFonts w:ascii="Times New Roman" w:cs="Times New Roman" w:eastAsia="Times New Roman" w:hAnsi="Times New Roman"/>
                <w:sz w:val="16"/>
                <w:szCs w:val="16"/>
                <w:color w:val="auto"/>
              </w:rPr>
              <w:t>(unaudited)</w:t>
            </w:r>
          </w:p>
        </w:tc>
        <w:tc>
          <w:tcPr>
            <w:tcW w:w="120" w:type="dxa"/>
            <w:vAlign w:val="bottom"/>
          </w:tcPr>
          <w:p>
            <w:pPr>
              <w:spacing w:after="0"/>
              <w:rPr>
                <w:sz w:val="18"/>
                <w:szCs w:val="18"/>
                <w:color w:val="auto"/>
              </w:rPr>
            </w:pPr>
          </w:p>
        </w:tc>
        <w:tc>
          <w:tcPr>
            <w:tcW w:w="1740" w:type="dxa"/>
            <w:vAlign w:val="bottom"/>
            <w:tcBorders>
              <w:top w:val="single" w:sz="8" w:color="auto"/>
            </w:tcBorders>
          </w:tcPr>
          <w:p>
            <w:pPr>
              <w:spacing w:after="0"/>
              <w:rPr>
                <w:sz w:val="18"/>
                <w:szCs w:val="18"/>
                <w:color w:val="auto"/>
              </w:rPr>
            </w:pPr>
          </w:p>
        </w:tc>
      </w:tr>
      <w:tr>
        <w:trPr>
          <w:trHeight w:val="216"/>
        </w:trPr>
        <w:tc>
          <w:tcPr>
            <w:tcW w:w="4160" w:type="dxa"/>
            <w:vAlign w:val="bottom"/>
            <w:shd w:val="clear" w:color="auto" w:fill="CCEEFF"/>
          </w:tcPr>
          <w:p>
            <w:pPr>
              <w:ind w:left="20"/>
              <w:spacing w:after="0" w:line="216" w:lineRule="exact"/>
              <w:rPr>
                <w:sz w:val="20"/>
                <w:szCs w:val="20"/>
                <w:color w:val="auto"/>
              </w:rPr>
            </w:pPr>
            <w:r>
              <w:rPr>
                <w:rFonts w:ascii="Times New Roman" w:cs="Times New Roman" w:eastAsia="Times New Roman" w:hAnsi="Times New Roman"/>
                <w:sz w:val="16"/>
                <w:szCs w:val="16"/>
                <w:color w:val="auto"/>
              </w:rPr>
              <w:t xml:space="preserve">Intermediated Wealth </w:t>
            </w:r>
            <w:r>
              <w:rPr>
                <w:rFonts w:ascii="Times New Roman" w:cs="Times New Roman" w:eastAsia="Times New Roman" w:hAnsi="Times New Roman"/>
                <w:sz w:val="21"/>
                <w:szCs w:val="21"/>
                <w:color w:val="auto"/>
                <w:vertAlign w:val="superscript"/>
              </w:rPr>
              <w:t>(2)</w:t>
            </w:r>
          </w:p>
        </w:tc>
        <w:tc>
          <w:tcPr>
            <w:tcW w:w="2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107,519</w:t>
            </w:r>
          </w:p>
        </w:tc>
        <w:tc>
          <w:tcPr>
            <w:tcW w:w="120" w:type="dxa"/>
            <w:vAlign w:val="bottom"/>
            <w:shd w:val="clear" w:color="auto" w:fill="CCEEFF"/>
          </w:tcPr>
          <w:p>
            <w:pPr>
              <w:spacing w:after="0"/>
              <w:rPr>
                <w:sz w:val="18"/>
                <w:szCs w:val="18"/>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62.2 %</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97,377</w:t>
            </w:r>
          </w:p>
        </w:tc>
        <w:tc>
          <w:tcPr>
            <w:tcW w:w="120" w:type="dxa"/>
            <w:vAlign w:val="bottom"/>
            <w:shd w:val="clear" w:color="auto" w:fill="CCEEFF"/>
          </w:tcPr>
          <w:p>
            <w:pPr>
              <w:spacing w:after="0"/>
              <w:rPr>
                <w:sz w:val="18"/>
                <w:szCs w:val="18"/>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60.0 %</w:t>
            </w:r>
          </w:p>
        </w:tc>
      </w:tr>
      <w:tr>
        <w:trPr>
          <w:trHeight w:val="216"/>
        </w:trPr>
        <w:tc>
          <w:tcPr>
            <w:tcW w:w="4160" w:type="dxa"/>
            <w:vAlign w:val="bottom"/>
            <w:tcBorders>
              <w:bottom w:val="single" w:sz="8" w:color="CCEEFF"/>
            </w:tcBorders>
          </w:tcPr>
          <w:p>
            <w:pPr>
              <w:ind w:left="20"/>
              <w:spacing w:after="0" w:line="216" w:lineRule="exact"/>
              <w:rPr>
                <w:sz w:val="20"/>
                <w:szCs w:val="20"/>
                <w:color w:val="auto"/>
              </w:rPr>
            </w:pPr>
            <w:r>
              <w:rPr>
                <w:rFonts w:ascii="Times New Roman" w:cs="Times New Roman" w:eastAsia="Times New Roman" w:hAnsi="Times New Roman"/>
                <w:sz w:val="16"/>
                <w:szCs w:val="16"/>
                <w:color w:val="auto"/>
              </w:rPr>
              <w:t xml:space="preserve">Institutional </w:t>
            </w:r>
            <w:r>
              <w:rPr>
                <w:rFonts w:ascii="Times New Roman" w:cs="Times New Roman" w:eastAsia="Times New Roman" w:hAnsi="Times New Roman"/>
                <w:sz w:val="21"/>
                <w:szCs w:val="21"/>
                <w:color w:val="auto"/>
                <w:vertAlign w:val="superscript"/>
              </w:rPr>
              <w:t>(2)</w:t>
            </w:r>
          </w:p>
        </w:tc>
        <w:tc>
          <w:tcPr>
            <w:tcW w:w="24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65,462</w:t>
            </w:r>
          </w:p>
        </w:tc>
        <w:tc>
          <w:tcPr>
            <w:tcW w:w="120" w:type="dxa"/>
            <w:vAlign w:val="bottom"/>
            <w:tcBorders>
              <w:bottom w:val="single" w:sz="8" w:color="CCEEFF"/>
            </w:tcBorders>
          </w:tcPr>
          <w:p>
            <w:pPr>
              <w:spacing w:after="0"/>
              <w:rPr>
                <w:sz w:val="18"/>
                <w:szCs w:val="18"/>
                <w:color w:val="auto"/>
              </w:rPr>
            </w:pPr>
          </w:p>
        </w:tc>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37.8 %</w:t>
            </w:r>
          </w:p>
        </w:tc>
        <w:tc>
          <w:tcPr>
            <w:tcW w:w="1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65,013</w:t>
            </w:r>
          </w:p>
        </w:tc>
        <w:tc>
          <w:tcPr>
            <w:tcW w:w="120" w:type="dxa"/>
            <w:vAlign w:val="bottom"/>
            <w:tcBorders>
              <w:bottom w:val="single" w:sz="8" w:color="CCEEFF"/>
            </w:tcBorders>
          </w:tcPr>
          <w:p>
            <w:pPr>
              <w:spacing w:after="0"/>
              <w:rPr>
                <w:sz w:val="18"/>
                <w:szCs w:val="18"/>
                <w:color w:val="auto"/>
              </w:rPr>
            </w:pPr>
          </w:p>
        </w:tc>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40.0 %</w:t>
            </w:r>
          </w:p>
        </w:tc>
      </w:tr>
      <w:tr>
        <w:trPr>
          <w:trHeight w:val="234"/>
        </w:trPr>
        <w:tc>
          <w:tcPr>
            <w:tcW w:w="41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Ending Assets Under Management</w:t>
            </w: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172,981</w:t>
            </w:r>
          </w:p>
        </w:tc>
        <w:tc>
          <w:tcPr>
            <w:tcW w:w="120" w:type="dxa"/>
            <w:vAlign w:val="bottom"/>
            <w:tcBorders>
              <w:bottom w:val="single" w:sz="8" w:color="CCEEFF"/>
            </w:tcBorders>
            <w:shd w:val="clear" w:color="auto" w:fill="CCEEFF"/>
          </w:tcPr>
          <w:p>
            <w:pPr>
              <w:spacing w:after="0"/>
              <w:rPr>
                <w:sz w:val="19"/>
                <w:szCs w:val="19"/>
                <w:color w:val="auto"/>
              </w:rPr>
            </w:pPr>
          </w:p>
        </w:tc>
        <w:tc>
          <w:tcPr>
            <w:tcW w:w="1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100.0 %</w:t>
            </w:r>
          </w:p>
        </w:tc>
        <w:tc>
          <w:tcPr>
            <w:tcW w:w="1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162,390</w:t>
            </w:r>
          </w:p>
        </w:tc>
        <w:tc>
          <w:tcPr>
            <w:tcW w:w="120" w:type="dxa"/>
            <w:vAlign w:val="bottom"/>
            <w:tcBorders>
              <w:bottom w:val="single" w:sz="8" w:color="CCEEFF"/>
            </w:tcBorders>
            <w:shd w:val="clear" w:color="auto" w:fill="CCEEFF"/>
          </w:tcPr>
          <w:p>
            <w:pPr>
              <w:spacing w:after="0"/>
              <w:rPr>
                <w:sz w:val="19"/>
                <w:szCs w:val="19"/>
                <w:color w:val="auto"/>
              </w:rPr>
            </w:pPr>
          </w:p>
        </w:tc>
        <w:tc>
          <w:tcPr>
            <w:tcW w:w="1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100.0 %</w:t>
            </w:r>
          </w:p>
        </w:tc>
      </w:tr>
      <w:tr>
        <w:trPr>
          <w:trHeight w:val="20"/>
        </w:trPr>
        <w:tc>
          <w:tcPr>
            <w:tcW w:w="41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7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740" w:type="dxa"/>
            <w:vAlign w:val="bottom"/>
            <w:tcBorders>
              <w:top w:val="single" w:sz="8" w:color="CCEEFF"/>
              <w:bottom w:val="single" w:sz="8" w:color="auto"/>
            </w:tcBorders>
          </w:tcPr>
          <w:p>
            <w:pPr>
              <w:spacing w:after="0" w:line="20" w:lineRule="exact"/>
              <w:rPr>
                <w:sz w:val="1"/>
                <w:szCs w:val="1"/>
                <w:color w:val="auto"/>
              </w:rPr>
            </w:pPr>
          </w:p>
        </w:tc>
      </w:tr>
    </w:tbl>
    <w:p>
      <w:pPr>
        <w:spacing w:after="0" w:line="11" w:lineRule="exact"/>
        <w:rPr>
          <w:sz w:val="20"/>
          <w:szCs w:val="20"/>
          <w:color w:val="auto"/>
        </w:rPr>
      </w:pPr>
    </w:p>
    <w:p>
      <w:pPr>
        <w:ind w:left="160" w:hanging="134"/>
        <w:spacing w:after="0"/>
        <w:tabs>
          <w:tab w:leader="none" w:pos="160" w:val="left"/>
        </w:tabs>
        <w:numPr>
          <w:ilvl w:val="0"/>
          <w:numId w:val="22"/>
        </w:numPr>
        <w:rPr>
          <w:rFonts w:ascii="Times New Roman" w:cs="Times New Roman" w:eastAsia="Times New Roman" w:hAnsi="Times New Roman"/>
          <w:sz w:val="17"/>
          <w:szCs w:val="17"/>
          <w:color w:val="auto"/>
          <w:vertAlign w:val="superscript"/>
        </w:rPr>
      </w:pPr>
      <w:r>
        <w:rPr>
          <w:rFonts w:ascii="Times New Roman" w:cs="Times New Roman" w:eastAsia="Times New Roman" w:hAnsi="Times New Roman"/>
          <w:sz w:val="13"/>
          <w:szCs w:val="13"/>
          <w:color w:val="auto"/>
        </w:rPr>
        <w:t>The allocation of AUM by distribution channel involves the use of estimates and the exercise of judgment.</w:t>
      </w:r>
    </w:p>
    <w:p>
      <w:pPr>
        <w:spacing w:after="0" w:line="55" w:lineRule="exact"/>
        <w:rPr>
          <w:rFonts w:ascii="Times New Roman" w:cs="Times New Roman" w:eastAsia="Times New Roman" w:hAnsi="Times New Roman"/>
          <w:sz w:val="17"/>
          <w:szCs w:val="17"/>
          <w:color w:val="auto"/>
          <w:vertAlign w:val="superscript"/>
        </w:rPr>
      </w:pPr>
    </w:p>
    <w:p>
      <w:pPr>
        <w:ind w:left="20" w:right="220" w:firstLine="6"/>
        <w:spacing w:after="0" w:line="215" w:lineRule="auto"/>
        <w:tabs>
          <w:tab w:leader="none" w:pos="165" w:val="left"/>
        </w:tabs>
        <w:numPr>
          <w:ilvl w:val="0"/>
          <w:numId w:val="22"/>
        </w:numPr>
        <w:rPr>
          <w:rFonts w:ascii="Times New Roman" w:cs="Times New Roman" w:eastAsia="Times New Roman" w:hAnsi="Times New Roman"/>
          <w:sz w:val="17"/>
          <w:szCs w:val="17"/>
          <w:color w:val="auto"/>
          <w:vertAlign w:val="superscript"/>
        </w:rPr>
      </w:pPr>
      <w:r>
        <w:rPr>
          <w:rFonts w:ascii="Times New Roman" w:cs="Times New Roman" w:eastAsia="Times New Roman" w:hAnsi="Times New Roman"/>
          <w:sz w:val="13"/>
          <w:szCs w:val="13"/>
          <w:color w:val="auto"/>
        </w:rPr>
        <w:t>In the first quarter of 2025, we combined our intermediary and retail distribution channels, renamed the intermediated wealth channel, and recategorized certain client AUM to better reflect how management considers and utilizes this information in the management of the business.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Our institutional channel includes AUM sourced from defined contribution plan clients, which made up approximately 7% of our total AUM as of March 31, 2026.</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following tables set forth the changes in our AUM by vehicle type:</w:t>
      </w:r>
    </w:p>
    <w:p>
      <w:pPr>
        <w:spacing w:after="0" w:line="44"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4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140" w:type="dxa"/>
            <w:vAlign w:val="bottom"/>
            <w:gridSpan w:val="2"/>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rPr>
              <w:t>Artisan Funds &amp; Artisan</w:t>
            </w:r>
          </w:p>
        </w:tc>
        <w:tc>
          <w:tcPr>
            <w:tcW w:w="2280" w:type="dxa"/>
            <w:vAlign w:val="bottom"/>
            <w:gridSpan w:val="3"/>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Separate Accounts and Other</w:t>
            </w:r>
          </w:p>
        </w:tc>
        <w:tc>
          <w:tcPr>
            <w:tcW w:w="52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4480" w:type="dxa"/>
            <w:vAlign w:val="bottom"/>
            <w:vMerge w:val="restart"/>
          </w:tcPr>
          <w:p>
            <w:pPr>
              <w:ind w:left="20"/>
              <w:spacing w:after="0" w:line="162" w:lineRule="exact"/>
              <w:rPr>
                <w:sz w:val="20"/>
                <w:szCs w:val="20"/>
                <w:color w:val="auto"/>
              </w:rPr>
            </w:pPr>
            <w:r>
              <w:rPr>
                <w:rFonts w:ascii="Times New Roman" w:cs="Times New Roman" w:eastAsia="Times New Roman" w:hAnsi="Times New Roman"/>
                <w:sz w:val="16"/>
                <w:szCs w:val="16"/>
                <w:b w:val="1"/>
                <w:bCs w:val="1"/>
                <w:color w:val="auto"/>
              </w:rPr>
              <w:t>Three Months Ended</w:t>
            </w:r>
          </w:p>
        </w:tc>
        <w:tc>
          <w:tcPr>
            <w:tcW w:w="160" w:type="dxa"/>
            <w:vAlign w:val="bottom"/>
          </w:tcPr>
          <w:p>
            <w:pPr>
              <w:spacing w:after="0"/>
              <w:rPr>
                <w:sz w:val="9"/>
                <w:szCs w:val="9"/>
                <w:color w:val="auto"/>
              </w:rPr>
            </w:pPr>
          </w:p>
        </w:tc>
        <w:tc>
          <w:tcPr>
            <w:tcW w:w="2140" w:type="dxa"/>
            <w:vAlign w:val="bottom"/>
            <w:gridSpan w:val="2"/>
            <w:vMerge w:val="restart"/>
          </w:tcPr>
          <w:p>
            <w:pPr>
              <w:jc w:val="center"/>
              <w:ind w:right="280"/>
              <w:spacing w:after="0" w:line="162" w:lineRule="exact"/>
              <w:rPr>
                <w:sz w:val="20"/>
                <w:szCs w:val="20"/>
                <w:color w:val="auto"/>
              </w:rPr>
            </w:pPr>
            <w:r>
              <w:rPr>
                <w:rFonts w:ascii="Times New Roman" w:cs="Times New Roman" w:eastAsia="Times New Roman" w:hAnsi="Times New Roman"/>
                <w:sz w:val="16"/>
                <w:szCs w:val="16"/>
                <w:b w:val="1"/>
                <w:bCs w:val="1"/>
                <w:color w:val="auto"/>
              </w:rPr>
              <w:t>Global Funds</w:t>
            </w:r>
          </w:p>
        </w:tc>
        <w:tc>
          <w:tcPr>
            <w:tcW w:w="200" w:type="dxa"/>
            <w:vAlign w:val="bottom"/>
          </w:tcPr>
          <w:p>
            <w:pPr>
              <w:spacing w:after="0"/>
              <w:rPr>
                <w:sz w:val="9"/>
                <w:szCs w:val="9"/>
                <w:color w:val="auto"/>
              </w:rPr>
            </w:pPr>
          </w:p>
        </w:tc>
        <w:tc>
          <w:tcPr>
            <w:tcW w:w="1960" w:type="dxa"/>
            <w:vAlign w:val="bottom"/>
          </w:tcPr>
          <w:p>
            <w:pPr>
              <w:jc w:val="center"/>
              <w:ind w:right="120"/>
              <w:spacing w:after="0" w:line="108" w:lineRule="exact"/>
              <w:rPr>
                <w:sz w:val="20"/>
                <w:szCs w:val="20"/>
                <w:color w:val="auto"/>
              </w:rPr>
            </w:pPr>
            <w:r>
              <w:rPr>
                <w:rFonts w:ascii="Times New Roman" w:cs="Times New Roman" w:eastAsia="Times New Roman" w:hAnsi="Times New Roman"/>
                <w:sz w:val="11"/>
                <w:szCs w:val="11"/>
                <w:b w:val="1"/>
                <w:bCs w:val="1"/>
                <w:color w:val="auto"/>
                <w:w w:val="93"/>
              </w:rPr>
              <w:t>(1)</w:t>
            </w:r>
          </w:p>
        </w:tc>
        <w:tc>
          <w:tcPr>
            <w:tcW w:w="120" w:type="dxa"/>
            <w:vAlign w:val="bottom"/>
          </w:tcPr>
          <w:p>
            <w:pPr>
              <w:spacing w:after="0"/>
              <w:rPr>
                <w:sz w:val="9"/>
                <w:szCs w:val="9"/>
                <w:color w:val="auto"/>
              </w:rPr>
            </w:pPr>
          </w:p>
        </w:tc>
        <w:tc>
          <w:tcPr>
            <w:tcW w:w="520" w:type="dxa"/>
            <w:vAlign w:val="bottom"/>
          </w:tcPr>
          <w:p>
            <w:pPr>
              <w:spacing w:after="0"/>
              <w:rPr>
                <w:sz w:val="9"/>
                <w:szCs w:val="9"/>
                <w:color w:val="auto"/>
              </w:rPr>
            </w:pPr>
          </w:p>
        </w:tc>
        <w:tc>
          <w:tcPr>
            <w:tcW w:w="1660" w:type="dxa"/>
            <w:vAlign w:val="bottom"/>
            <w:vMerge w:val="restart"/>
          </w:tcPr>
          <w:p>
            <w:pPr>
              <w:jc w:val="right"/>
              <w:ind w:right="819"/>
              <w:spacing w:after="0" w:line="162" w:lineRule="exact"/>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54"/>
        </w:trPr>
        <w:tc>
          <w:tcPr>
            <w:tcW w:w="4480" w:type="dxa"/>
            <w:vAlign w:val="bottom"/>
            <w:vMerge w:val="continue"/>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2140" w:type="dxa"/>
            <w:vAlign w:val="bottom"/>
            <w:tcBorders>
              <w:bottom w:val="single" w:sz="8" w:color="auto"/>
            </w:tcBorders>
            <w:gridSpan w:val="2"/>
            <w:vMerge w:val="continue"/>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196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520" w:type="dxa"/>
            <w:vAlign w:val="bottom"/>
            <w:tcBorders>
              <w:bottom w:val="single" w:sz="8" w:color="auto"/>
            </w:tcBorders>
          </w:tcPr>
          <w:p>
            <w:pPr>
              <w:spacing w:after="0"/>
              <w:rPr>
                <w:sz w:val="4"/>
                <w:szCs w:val="4"/>
                <w:color w:val="auto"/>
              </w:rPr>
            </w:pPr>
          </w:p>
        </w:tc>
        <w:tc>
          <w:tcPr>
            <w:tcW w:w="1660" w:type="dxa"/>
            <w:vAlign w:val="bottom"/>
            <w:tcBorders>
              <w:bottom w:val="single" w:sz="8" w:color="auto"/>
            </w:tcBorders>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07"/>
        </w:trPr>
        <w:tc>
          <w:tcPr>
            <w:tcW w:w="448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March 31, 2026</w:t>
            </w:r>
          </w:p>
        </w:tc>
        <w:tc>
          <w:tcPr>
            <w:tcW w:w="16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80" w:type="dxa"/>
            <w:vAlign w:val="bottom"/>
            <w:gridSpan w:val="2"/>
          </w:tcPr>
          <w:p>
            <w:pPr>
              <w:jc w:val="center"/>
              <w:ind w:right="320"/>
              <w:spacing w:after="0"/>
              <w:rPr>
                <w:sz w:val="20"/>
                <w:szCs w:val="20"/>
                <w:color w:val="auto"/>
              </w:rPr>
            </w:pPr>
            <w:r>
              <w:rPr>
                <w:rFonts w:ascii="Times New Roman" w:cs="Times New Roman" w:eastAsia="Times New Roman" w:hAnsi="Times New Roman"/>
                <w:sz w:val="16"/>
                <w:szCs w:val="16"/>
                <w:color w:val="auto"/>
              </w:rPr>
              <w:t>(unaudited; in millions)</w:t>
            </w:r>
          </w:p>
        </w:tc>
        <w:tc>
          <w:tcPr>
            <w:tcW w:w="52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4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Beginning assets under management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2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87,875</w:t>
            </w:r>
          </w:p>
        </w:tc>
        <w:tc>
          <w:tcPr>
            <w:tcW w:w="14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92,053</w:t>
            </w:r>
          </w:p>
        </w:tc>
        <w:tc>
          <w:tcPr>
            <w:tcW w:w="120" w:type="dxa"/>
            <w:vAlign w:val="bottom"/>
            <w:shd w:val="clear" w:color="auto" w:fill="CCEEFF"/>
          </w:tcPr>
          <w:p>
            <w:pPr>
              <w:spacing w:after="0"/>
              <w:rPr>
                <w:sz w:val="19"/>
                <w:szCs w:val="19"/>
                <w:color w:val="auto"/>
              </w:rPr>
            </w:pPr>
          </w:p>
        </w:tc>
        <w:tc>
          <w:tcPr>
            <w:tcW w:w="520" w:type="dxa"/>
            <w:vAlign w:val="bottom"/>
            <w:shd w:val="clear" w:color="auto" w:fill="CCEEFF"/>
          </w:tcPr>
          <w:p>
            <w:pPr>
              <w:jc w:val="right"/>
              <w:ind w:right="339"/>
              <w:spacing w:after="0"/>
              <w:rPr>
                <w:sz w:val="20"/>
                <w:szCs w:val="20"/>
                <w:color w:val="auto"/>
              </w:rPr>
            </w:pPr>
            <w:r>
              <w:rPr>
                <w:rFonts w:ascii="Times New Roman" w:cs="Times New Roman" w:eastAsia="Times New Roman" w:hAnsi="Times New Roman"/>
                <w:sz w:val="16"/>
                <w:szCs w:val="16"/>
                <w:color w:val="auto"/>
                <w:w w:val="99"/>
              </w:rPr>
              <w:t>$</w:t>
            </w: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179,928</w:t>
            </w:r>
          </w:p>
        </w:tc>
        <w:tc>
          <w:tcPr>
            <w:tcW w:w="0" w:type="dxa"/>
            <w:vAlign w:val="bottom"/>
          </w:tcPr>
          <w:p>
            <w:pPr>
              <w:spacing w:after="0"/>
              <w:rPr>
                <w:sz w:val="1"/>
                <w:szCs w:val="1"/>
                <w:color w:val="auto"/>
              </w:rPr>
            </w:pPr>
          </w:p>
        </w:tc>
      </w:tr>
      <w:tr>
        <w:trPr>
          <w:trHeight w:val="213"/>
        </w:trPr>
        <w:tc>
          <w:tcPr>
            <w:tcW w:w="448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Gross client cash inflows</w:t>
            </w:r>
          </w:p>
        </w:tc>
        <w:tc>
          <w:tcPr>
            <w:tcW w:w="160" w:type="dxa"/>
            <w:vAlign w:val="bottom"/>
          </w:tcPr>
          <w:p>
            <w:pPr>
              <w:spacing w:after="0"/>
              <w:rPr>
                <w:sz w:val="18"/>
                <w:szCs w:val="18"/>
                <w:color w:val="auto"/>
              </w:rPr>
            </w:pPr>
          </w:p>
        </w:tc>
        <w:tc>
          <w:tcPr>
            <w:tcW w:w="2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6,353</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2,835</w:t>
            </w: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9,188</w:t>
            </w:r>
          </w:p>
        </w:tc>
        <w:tc>
          <w:tcPr>
            <w:tcW w:w="0" w:type="dxa"/>
            <w:vAlign w:val="bottom"/>
          </w:tcPr>
          <w:p>
            <w:pPr>
              <w:spacing w:after="0"/>
              <w:rPr>
                <w:sz w:val="1"/>
                <w:szCs w:val="1"/>
                <w:color w:val="auto"/>
              </w:rPr>
            </w:pPr>
          </w:p>
        </w:tc>
      </w:tr>
      <w:tr>
        <w:trPr>
          <w:trHeight w:val="219"/>
        </w:trPr>
        <w:tc>
          <w:tcPr>
            <w:tcW w:w="44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Gross client cash outflows</w:t>
            </w:r>
          </w:p>
        </w:tc>
        <w:tc>
          <w:tcPr>
            <w:tcW w:w="160" w:type="dxa"/>
            <w:vAlign w:val="bottom"/>
            <w:tcBorders>
              <w:bottom w:val="single" w:sz="8" w:color="auto"/>
            </w:tcBorders>
            <w:shd w:val="clear" w:color="auto" w:fill="CCEEFF"/>
          </w:tcPr>
          <w:p>
            <w:pPr>
              <w:spacing w:after="0"/>
              <w:rPr>
                <w:sz w:val="19"/>
                <w:szCs w:val="19"/>
                <w:color w:val="auto"/>
              </w:rPr>
            </w:pPr>
          </w:p>
        </w:tc>
        <w:tc>
          <w:tcPr>
            <w:tcW w:w="2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(7,424)</w:t>
            </w:r>
          </w:p>
        </w:tc>
        <w:tc>
          <w:tcPr>
            <w:tcW w:w="14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(4,881)</w:t>
            </w:r>
          </w:p>
        </w:tc>
        <w:tc>
          <w:tcPr>
            <w:tcW w:w="120" w:type="dxa"/>
            <w:vAlign w:val="bottom"/>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(12,305)</w:t>
            </w:r>
          </w:p>
        </w:tc>
        <w:tc>
          <w:tcPr>
            <w:tcW w:w="0" w:type="dxa"/>
            <w:vAlign w:val="bottom"/>
          </w:tcPr>
          <w:p>
            <w:pPr>
              <w:spacing w:after="0"/>
              <w:rPr>
                <w:sz w:val="1"/>
                <w:szCs w:val="1"/>
                <w:color w:val="auto"/>
              </w:rPr>
            </w:pPr>
          </w:p>
        </w:tc>
      </w:tr>
      <w:tr>
        <w:trPr>
          <w:trHeight w:val="207"/>
        </w:trPr>
        <w:tc>
          <w:tcPr>
            <w:tcW w:w="44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client cash flows</w:t>
            </w:r>
          </w:p>
        </w:tc>
        <w:tc>
          <w:tcPr>
            <w:tcW w:w="160" w:type="dxa"/>
            <w:vAlign w:val="bottom"/>
          </w:tcPr>
          <w:p>
            <w:pPr>
              <w:spacing w:after="0"/>
              <w:rPr>
                <w:sz w:val="17"/>
                <w:szCs w:val="17"/>
                <w:color w:val="auto"/>
              </w:rPr>
            </w:pPr>
          </w:p>
        </w:tc>
        <w:tc>
          <w:tcPr>
            <w:tcW w:w="2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(1,071)</w:t>
            </w: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(2,046)</w:t>
            </w:r>
          </w:p>
        </w:tc>
        <w:tc>
          <w:tcPr>
            <w:tcW w:w="1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(3,117)</w:t>
            </w:r>
          </w:p>
        </w:tc>
        <w:tc>
          <w:tcPr>
            <w:tcW w:w="0" w:type="dxa"/>
            <w:vAlign w:val="bottom"/>
          </w:tcPr>
          <w:p>
            <w:pPr>
              <w:spacing w:after="0"/>
              <w:rPr>
                <w:sz w:val="1"/>
                <w:szCs w:val="1"/>
                <w:color w:val="auto"/>
              </w:rPr>
            </w:pPr>
          </w:p>
        </w:tc>
      </w:tr>
      <w:tr>
        <w:trPr>
          <w:trHeight w:val="219"/>
        </w:trPr>
        <w:tc>
          <w:tcPr>
            <w:tcW w:w="4480" w:type="dxa"/>
            <w:vAlign w:val="bottom"/>
            <w:shd w:val="clear" w:color="auto" w:fill="CCEEFF"/>
          </w:tcPr>
          <w:p>
            <w:pPr>
              <w:ind w:left="20"/>
              <w:spacing w:after="0" w:line="219" w:lineRule="exact"/>
              <w:rPr>
                <w:sz w:val="20"/>
                <w:szCs w:val="20"/>
                <w:color w:val="auto"/>
              </w:rPr>
            </w:pPr>
            <w:r>
              <w:rPr>
                <w:rFonts w:ascii="Times New Roman" w:cs="Times New Roman" w:eastAsia="Times New Roman" w:hAnsi="Times New Roman"/>
                <w:sz w:val="16"/>
                <w:szCs w:val="16"/>
                <w:color w:val="auto"/>
              </w:rPr>
              <w:t xml:space="preserve">Acquisitions </w:t>
            </w:r>
            <w:r>
              <w:rPr>
                <w:rFonts w:ascii="Times New Roman" w:cs="Times New Roman" w:eastAsia="Times New Roman" w:hAnsi="Times New Roman"/>
                <w:sz w:val="21"/>
                <w:szCs w:val="21"/>
                <w:color w:val="auto"/>
                <w:vertAlign w:val="superscript"/>
              </w:rPr>
              <w:t>(2)</w:t>
            </w:r>
          </w:p>
        </w:tc>
        <w:tc>
          <w:tcPr>
            <w:tcW w:w="160" w:type="dxa"/>
            <w:vAlign w:val="bottom"/>
            <w:shd w:val="clear" w:color="auto" w:fill="CCEEFF"/>
          </w:tcPr>
          <w:p>
            <w:pPr>
              <w:spacing w:after="0"/>
              <w:rPr>
                <w:sz w:val="19"/>
                <w:szCs w:val="19"/>
                <w:color w:val="auto"/>
              </w:rPr>
            </w:pPr>
          </w:p>
        </w:tc>
        <w:tc>
          <w:tcPr>
            <w:tcW w:w="21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9"/>
                <w:szCs w:val="19"/>
                <w:color w:val="auto"/>
              </w:rPr>
            </w:pPr>
          </w:p>
        </w:tc>
        <w:tc>
          <w:tcPr>
            <w:tcW w:w="1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880</w:t>
            </w:r>
          </w:p>
        </w:tc>
        <w:tc>
          <w:tcPr>
            <w:tcW w:w="1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880</w:t>
            </w:r>
          </w:p>
        </w:tc>
        <w:tc>
          <w:tcPr>
            <w:tcW w:w="0" w:type="dxa"/>
            <w:vAlign w:val="bottom"/>
          </w:tcPr>
          <w:p>
            <w:pPr>
              <w:spacing w:after="0"/>
              <w:rPr>
                <w:sz w:val="1"/>
                <w:szCs w:val="1"/>
                <w:color w:val="auto"/>
              </w:rPr>
            </w:pPr>
          </w:p>
        </w:tc>
      </w:tr>
      <w:tr>
        <w:trPr>
          <w:trHeight w:val="216"/>
        </w:trPr>
        <w:tc>
          <w:tcPr>
            <w:tcW w:w="4480" w:type="dxa"/>
            <w:vAlign w:val="bottom"/>
          </w:tcPr>
          <w:p>
            <w:pPr>
              <w:ind w:left="20"/>
              <w:spacing w:after="0" w:line="216" w:lineRule="exact"/>
              <w:rPr>
                <w:sz w:val="20"/>
                <w:szCs w:val="20"/>
                <w:color w:val="auto"/>
              </w:rPr>
            </w:pPr>
            <w:r>
              <w:rPr>
                <w:rFonts w:ascii="Times New Roman" w:cs="Times New Roman" w:eastAsia="Times New Roman" w:hAnsi="Times New Roman"/>
                <w:sz w:val="16"/>
                <w:szCs w:val="16"/>
                <w:color w:val="auto"/>
              </w:rPr>
              <w:t xml:space="preserve">Artisan Funds’ distributions not reinvested </w:t>
            </w:r>
            <w:r>
              <w:rPr>
                <w:rFonts w:ascii="Times New Roman" w:cs="Times New Roman" w:eastAsia="Times New Roman" w:hAnsi="Times New Roman"/>
                <w:sz w:val="21"/>
                <w:szCs w:val="21"/>
                <w:color w:val="auto"/>
                <w:vertAlign w:val="superscript"/>
              </w:rPr>
              <w:t>(3)</w:t>
            </w:r>
          </w:p>
        </w:tc>
        <w:tc>
          <w:tcPr>
            <w:tcW w:w="160" w:type="dxa"/>
            <w:vAlign w:val="bottom"/>
          </w:tcPr>
          <w:p>
            <w:pPr>
              <w:spacing w:after="0"/>
              <w:rPr>
                <w:sz w:val="18"/>
                <w:szCs w:val="18"/>
                <w:color w:val="auto"/>
              </w:rPr>
            </w:pPr>
          </w:p>
        </w:tc>
        <w:tc>
          <w:tcPr>
            <w:tcW w:w="2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(134)</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52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(134)</w:t>
            </w:r>
          </w:p>
        </w:tc>
        <w:tc>
          <w:tcPr>
            <w:tcW w:w="0" w:type="dxa"/>
            <w:vAlign w:val="bottom"/>
          </w:tcPr>
          <w:p>
            <w:pPr>
              <w:spacing w:after="0"/>
              <w:rPr>
                <w:sz w:val="1"/>
                <w:szCs w:val="1"/>
                <w:color w:val="auto"/>
              </w:rPr>
            </w:pPr>
          </w:p>
        </w:tc>
      </w:tr>
      <w:tr>
        <w:trPr>
          <w:trHeight w:val="216"/>
        </w:trPr>
        <w:tc>
          <w:tcPr>
            <w:tcW w:w="4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Investment returns and other</w:t>
            </w:r>
          </w:p>
        </w:tc>
        <w:tc>
          <w:tcPr>
            <w:tcW w:w="160" w:type="dxa"/>
            <w:vAlign w:val="bottom"/>
            <w:shd w:val="clear" w:color="auto" w:fill="CCEEFF"/>
          </w:tcPr>
          <w:p>
            <w:pPr>
              <w:spacing w:after="0"/>
              <w:rPr>
                <w:sz w:val="18"/>
                <w:szCs w:val="18"/>
                <w:color w:val="auto"/>
              </w:rPr>
            </w:pPr>
          </w:p>
        </w:tc>
        <w:tc>
          <w:tcPr>
            <w:tcW w:w="2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(2,211)</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(2,365)</w:t>
            </w: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(4,576)</w:t>
            </w:r>
          </w:p>
        </w:tc>
        <w:tc>
          <w:tcPr>
            <w:tcW w:w="0" w:type="dxa"/>
            <w:vAlign w:val="bottom"/>
          </w:tcPr>
          <w:p>
            <w:pPr>
              <w:spacing w:after="0"/>
              <w:rPr>
                <w:sz w:val="1"/>
                <w:szCs w:val="1"/>
                <w:color w:val="auto"/>
              </w:rPr>
            </w:pPr>
          </w:p>
        </w:tc>
      </w:tr>
      <w:tr>
        <w:trPr>
          <w:trHeight w:val="216"/>
        </w:trPr>
        <w:tc>
          <w:tcPr>
            <w:tcW w:w="4480" w:type="dxa"/>
            <w:vAlign w:val="bottom"/>
          </w:tcPr>
          <w:p>
            <w:pPr>
              <w:ind w:left="20"/>
              <w:spacing w:after="0" w:line="216" w:lineRule="exact"/>
              <w:rPr>
                <w:sz w:val="20"/>
                <w:szCs w:val="20"/>
                <w:color w:val="auto"/>
              </w:rPr>
            </w:pPr>
            <w:r>
              <w:rPr>
                <w:rFonts w:ascii="Times New Roman" w:cs="Times New Roman" w:eastAsia="Times New Roman" w:hAnsi="Times New Roman"/>
                <w:sz w:val="16"/>
                <w:szCs w:val="16"/>
                <w:color w:val="auto"/>
              </w:rPr>
              <w:t xml:space="preserve">Net transfers </w:t>
            </w:r>
            <w:r>
              <w:rPr>
                <w:rFonts w:ascii="Times New Roman" w:cs="Times New Roman" w:eastAsia="Times New Roman" w:hAnsi="Times New Roman"/>
                <w:sz w:val="21"/>
                <w:szCs w:val="21"/>
                <w:color w:val="auto"/>
                <w:vertAlign w:val="superscript"/>
              </w:rPr>
              <w:t>(4)</w:t>
            </w:r>
          </w:p>
        </w:tc>
        <w:tc>
          <w:tcPr>
            <w:tcW w:w="160" w:type="dxa"/>
            <w:vAlign w:val="bottom"/>
          </w:tcPr>
          <w:p>
            <w:pPr>
              <w:spacing w:after="0"/>
              <w:rPr>
                <w:sz w:val="18"/>
                <w:szCs w:val="18"/>
                <w:color w:val="auto"/>
              </w:rPr>
            </w:pPr>
          </w:p>
        </w:tc>
        <w:tc>
          <w:tcPr>
            <w:tcW w:w="214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20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52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35"/>
        </w:trPr>
        <w:tc>
          <w:tcPr>
            <w:tcW w:w="44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Ending assets under management</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2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84,459</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88,522</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520" w:type="dxa"/>
            <w:vAlign w:val="bottom"/>
            <w:tcBorders>
              <w:top w:val="single" w:sz="8" w:color="auto"/>
              <w:bottom w:val="single" w:sz="8" w:color="auto"/>
            </w:tcBorders>
            <w:shd w:val="clear" w:color="auto" w:fill="CCEEFF"/>
          </w:tcPr>
          <w:p>
            <w:pPr>
              <w:jc w:val="right"/>
              <w:ind w:right="339"/>
              <w:spacing w:after="0"/>
              <w:rPr>
                <w:sz w:val="20"/>
                <w:szCs w:val="20"/>
                <w:color w:val="auto"/>
              </w:rPr>
            </w:pPr>
            <w:r>
              <w:rPr>
                <w:rFonts w:ascii="Times New Roman" w:cs="Times New Roman" w:eastAsia="Times New Roman" w:hAnsi="Times New Roman"/>
                <w:sz w:val="16"/>
                <w:szCs w:val="16"/>
                <w:color w:val="auto"/>
                <w:w w:val="99"/>
              </w:rPr>
              <w:t>$</w:t>
            </w:r>
          </w:p>
        </w:tc>
        <w:tc>
          <w:tcPr>
            <w:tcW w:w="1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172,981</w:t>
            </w:r>
          </w:p>
        </w:tc>
        <w:tc>
          <w:tcPr>
            <w:tcW w:w="0" w:type="dxa"/>
            <w:vAlign w:val="bottom"/>
          </w:tcPr>
          <w:p>
            <w:pPr>
              <w:spacing w:after="0"/>
              <w:rPr>
                <w:sz w:val="1"/>
                <w:szCs w:val="1"/>
                <w:color w:val="auto"/>
              </w:rPr>
            </w:pPr>
          </w:p>
        </w:tc>
      </w:tr>
      <w:tr>
        <w:trPr>
          <w:trHeight w:val="20"/>
        </w:trPr>
        <w:tc>
          <w:tcPr>
            <w:tcW w:w="44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20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9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6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44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Average assets under management</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2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89,171</w:t>
            </w:r>
          </w:p>
        </w:tc>
        <w:tc>
          <w:tcPr>
            <w:tcW w:w="140" w:type="dxa"/>
            <w:vAlign w:val="bottom"/>
          </w:tcPr>
          <w:p>
            <w:pPr>
              <w:spacing w:after="0"/>
              <w:rPr>
                <w:sz w:val="16"/>
                <w:szCs w:val="16"/>
                <w:color w:val="auto"/>
              </w:rPr>
            </w:pPr>
          </w:p>
        </w:tc>
        <w:tc>
          <w:tcPr>
            <w:tcW w:w="20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93,232</w:t>
            </w:r>
          </w:p>
        </w:tc>
        <w:tc>
          <w:tcPr>
            <w:tcW w:w="120" w:type="dxa"/>
            <w:vAlign w:val="bottom"/>
          </w:tcPr>
          <w:p>
            <w:pPr>
              <w:spacing w:after="0"/>
              <w:rPr>
                <w:sz w:val="16"/>
                <w:szCs w:val="16"/>
                <w:color w:val="auto"/>
              </w:rPr>
            </w:pPr>
          </w:p>
        </w:tc>
        <w:tc>
          <w:tcPr>
            <w:tcW w:w="520" w:type="dxa"/>
            <w:vAlign w:val="bottom"/>
            <w:tcBorders>
              <w:bottom w:val="single" w:sz="8" w:color="auto"/>
            </w:tcBorders>
          </w:tcPr>
          <w:p>
            <w:pPr>
              <w:jc w:val="right"/>
              <w:ind w:right="339"/>
              <w:spacing w:after="0"/>
              <w:rPr>
                <w:sz w:val="20"/>
                <w:szCs w:val="20"/>
                <w:color w:val="auto"/>
              </w:rPr>
            </w:pPr>
            <w:r>
              <w:rPr>
                <w:rFonts w:ascii="Times New Roman" w:cs="Times New Roman" w:eastAsia="Times New Roman" w:hAnsi="Times New Roman"/>
                <w:sz w:val="16"/>
                <w:szCs w:val="16"/>
                <w:color w:val="auto"/>
                <w:w w:val="99"/>
              </w:rPr>
              <w:t>$</w:t>
            </w: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182,403</w:t>
            </w:r>
          </w:p>
        </w:tc>
        <w:tc>
          <w:tcPr>
            <w:tcW w:w="0" w:type="dxa"/>
            <w:vAlign w:val="bottom"/>
          </w:tcPr>
          <w:p>
            <w:pPr>
              <w:spacing w:after="0"/>
              <w:rPr>
                <w:sz w:val="1"/>
                <w:szCs w:val="1"/>
                <w:color w:val="auto"/>
              </w:rPr>
            </w:pPr>
          </w:p>
        </w:tc>
      </w:tr>
      <w:tr>
        <w:trPr>
          <w:trHeight w:val="20"/>
        </w:trPr>
        <w:tc>
          <w:tcPr>
            <w:tcW w:w="44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0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9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4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March 31, 2025</w:t>
            </w:r>
          </w:p>
        </w:tc>
        <w:tc>
          <w:tcPr>
            <w:tcW w:w="160" w:type="dxa"/>
            <w:vAlign w:val="bottom"/>
            <w:shd w:val="clear" w:color="auto" w:fill="CCEEFF"/>
          </w:tcPr>
          <w:p>
            <w:pPr>
              <w:spacing w:after="0"/>
              <w:rPr>
                <w:sz w:val="15"/>
                <w:szCs w:val="15"/>
                <w:color w:val="auto"/>
              </w:rPr>
            </w:pPr>
          </w:p>
        </w:tc>
        <w:tc>
          <w:tcPr>
            <w:tcW w:w="20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9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16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3"/>
        </w:trPr>
        <w:tc>
          <w:tcPr>
            <w:tcW w:w="44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Beginning assets under management</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2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77,614</w:t>
            </w:r>
          </w:p>
        </w:tc>
        <w:tc>
          <w:tcPr>
            <w:tcW w:w="140" w:type="dxa"/>
            <w:vAlign w:val="bottom"/>
          </w:tcPr>
          <w:p>
            <w:pPr>
              <w:spacing w:after="0"/>
              <w:rPr>
                <w:sz w:val="18"/>
                <w:szCs w:val="18"/>
                <w:color w:val="auto"/>
              </w:rPr>
            </w:pP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83,594</w:t>
            </w:r>
          </w:p>
        </w:tc>
        <w:tc>
          <w:tcPr>
            <w:tcW w:w="120" w:type="dxa"/>
            <w:vAlign w:val="bottom"/>
          </w:tcPr>
          <w:p>
            <w:pPr>
              <w:spacing w:after="0"/>
              <w:rPr>
                <w:sz w:val="18"/>
                <w:szCs w:val="18"/>
                <w:color w:val="auto"/>
              </w:rPr>
            </w:pPr>
          </w:p>
        </w:tc>
        <w:tc>
          <w:tcPr>
            <w:tcW w:w="520" w:type="dxa"/>
            <w:vAlign w:val="bottom"/>
          </w:tcPr>
          <w:p>
            <w:pPr>
              <w:jc w:val="right"/>
              <w:ind w:right="339"/>
              <w:spacing w:after="0"/>
              <w:rPr>
                <w:sz w:val="20"/>
                <w:szCs w:val="20"/>
                <w:color w:val="auto"/>
              </w:rPr>
            </w:pPr>
            <w:r>
              <w:rPr>
                <w:rFonts w:ascii="Times New Roman" w:cs="Times New Roman" w:eastAsia="Times New Roman" w:hAnsi="Times New Roman"/>
                <w:sz w:val="16"/>
                <w:szCs w:val="16"/>
                <w:color w:val="auto"/>
                <w:w w:val="99"/>
              </w:rPr>
              <w:t>$</w:t>
            </w:r>
          </w:p>
        </w:tc>
        <w:tc>
          <w:tcPr>
            <w:tcW w:w="1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161,208</w:t>
            </w:r>
          </w:p>
        </w:tc>
        <w:tc>
          <w:tcPr>
            <w:tcW w:w="0" w:type="dxa"/>
            <w:vAlign w:val="bottom"/>
          </w:tcPr>
          <w:p>
            <w:pPr>
              <w:spacing w:after="0"/>
              <w:rPr>
                <w:sz w:val="1"/>
                <w:szCs w:val="1"/>
                <w:color w:val="auto"/>
              </w:rPr>
            </w:pPr>
          </w:p>
        </w:tc>
      </w:tr>
      <w:tr>
        <w:trPr>
          <w:trHeight w:val="219"/>
        </w:trPr>
        <w:tc>
          <w:tcPr>
            <w:tcW w:w="44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Gross client cash inflows</w:t>
            </w:r>
          </w:p>
        </w:tc>
        <w:tc>
          <w:tcPr>
            <w:tcW w:w="160" w:type="dxa"/>
            <w:vAlign w:val="bottom"/>
            <w:shd w:val="clear" w:color="auto" w:fill="CCEEFF"/>
          </w:tcPr>
          <w:p>
            <w:pPr>
              <w:spacing w:after="0"/>
              <w:rPr>
                <w:sz w:val="19"/>
                <w:szCs w:val="19"/>
                <w:color w:val="auto"/>
              </w:rPr>
            </w:pPr>
          </w:p>
        </w:tc>
        <w:tc>
          <w:tcPr>
            <w:tcW w:w="2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5,019</w:t>
            </w:r>
          </w:p>
        </w:tc>
        <w:tc>
          <w:tcPr>
            <w:tcW w:w="1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1,995</w:t>
            </w:r>
          </w:p>
        </w:tc>
        <w:tc>
          <w:tcPr>
            <w:tcW w:w="1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7,014</w:t>
            </w:r>
          </w:p>
        </w:tc>
        <w:tc>
          <w:tcPr>
            <w:tcW w:w="0" w:type="dxa"/>
            <w:vAlign w:val="bottom"/>
          </w:tcPr>
          <w:p>
            <w:pPr>
              <w:spacing w:after="0"/>
              <w:rPr>
                <w:sz w:val="1"/>
                <w:szCs w:val="1"/>
                <w:color w:val="auto"/>
              </w:rPr>
            </w:pPr>
          </w:p>
        </w:tc>
      </w:tr>
      <w:tr>
        <w:trPr>
          <w:trHeight w:val="213"/>
        </w:trPr>
        <w:tc>
          <w:tcPr>
            <w:tcW w:w="448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6"/>
                <w:szCs w:val="16"/>
                <w:color w:val="auto"/>
              </w:rPr>
              <w:t>Gross client cash outflows</w:t>
            </w:r>
          </w:p>
        </w:tc>
        <w:tc>
          <w:tcPr>
            <w:tcW w:w="160" w:type="dxa"/>
            <w:vAlign w:val="bottom"/>
            <w:tcBorders>
              <w:bottom w:val="single" w:sz="8" w:color="auto"/>
            </w:tcBorders>
          </w:tcPr>
          <w:p>
            <w:pPr>
              <w:spacing w:after="0"/>
              <w:rPr>
                <w:sz w:val="18"/>
                <w:szCs w:val="18"/>
                <w:color w:val="auto"/>
              </w:rPr>
            </w:pPr>
          </w:p>
        </w:tc>
        <w:tc>
          <w:tcPr>
            <w:tcW w:w="2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(5,588)</w:t>
            </w:r>
          </w:p>
        </w:tc>
        <w:tc>
          <w:tcPr>
            <w:tcW w:w="14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(4,266)</w:t>
            </w:r>
          </w:p>
        </w:tc>
        <w:tc>
          <w:tcPr>
            <w:tcW w:w="120" w:type="dxa"/>
            <w:vAlign w:val="bottom"/>
            <w:tcBorders>
              <w:bottom w:val="single" w:sz="8" w:color="CCEEFF"/>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(9,854)</w:t>
            </w:r>
          </w:p>
        </w:tc>
        <w:tc>
          <w:tcPr>
            <w:tcW w:w="0" w:type="dxa"/>
            <w:vAlign w:val="bottom"/>
          </w:tcPr>
          <w:p>
            <w:pPr>
              <w:spacing w:after="0"/>
              <w:rPr>
                <w:sz w:val="1"/>
                <w:szCs w:val="1"/>
                <w:color w:val="auto"/>
              </w:rPr>
            </w:pPr>
          </w:p>
        </w:tc>
      </w:tr>
      <w:tr>
        <w:trPr>
          <w:trHeight w:val="212"/>
        </w:trPr>
        <w:tc>
          <w:tcPr>
            <w:tcW w:w="4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client cash flows</w:t>
            </w:r>
          </w:p>
        </w:tc>
        <w:tc>
          <w:tcPr>
            <w:tcW w:w="160" w:type="dxa"/>
            <w:vAlign w:val="bottom"/>
            <w:shd w:val="clear" w:color="auto" w:fill="CCEEFF"/>
          </w:tcPr>
          <w:p>
            <w:pPr>
              <w:spacing w:after="0"/>
              <w:rPr>
                <w:sz w:val="18"/>
                <w:szCs w:val="18"/>
                <w:color w:val="auto"/>
              </w:rPr>
            </w:pPr>
          </w:p>
        </w:tc>
        <w:tc>
          <w:tcPr>
            <w:tcW w:w="2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(569)</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(2,271)</w:t>
            </w: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(2,840)</w:t>
            </w:r>
          </w:p>
        </w:tc>
        <w:tc>
          <w:tcPr>
            <w:tcW w:w="0" w:type="dxa"/>
            <w:vAlign w:val="bottom"/>
          </w:tcPr>
          <w:p>
            <w:pPr>
              <w:spacing w:after="0"/>
              <w:rPr>
                <w:sz w:val="1"/>
                <w:szCs w:val="1"/>
                <w:color w:val="auto"/>
              </w:rPr>
            </w:pPr>
          </w:p>
        </w:tc>
      </w:tr>
      <w:tr>
        <w:trPr>
          <w:trHeight w:val="216"/>
        </w:trPr>
        <w:tc>
          <w:tcPr>
            <w:tcW w:w="4480" w:type="dxa"/>
            <w:vAlign w:val="bottom"/>
          </w:tcPr>
          <w:p>
            <w:pPr>
              <w:ind w:left="20"/>
              <w:spacing w:after="0" w:line="216" w:lineRule="exact"/>
              <w:rPr>
                <w:sz w:val="20"/>
                <w:szCs w:val="20"/>
                <w:color w:val="auto"/>
              </w:rPr>
            </w:pPr>
            <w:r>
              <w:rPr>
                <w:rFonts w:ascii="Times New Roman" w:cs="Times New Roman" w:eastAsia="Times New Roman" w:hAnsi="Times New Roman"/>
                <w:sz w:val="16"/>
                <w:szCs w:val="16"/>
                <w:color w:val="auto"/>
              </w:rPr>
              <w:t xml:space="preserve">Acquisitions </w:t>
            </w:r>
            <w:r>
              <w:rPr>
                <w:rFonts w:ascii="Times New Roman" w:cs="Times New Roman" w:eastAsia="Times New Roman" w:hAnsi="Times New Roman"/>
                <w:sz w:val="21"/>
                <w:szCs w:val="21"/>
                <w:color w:val="auto"/>
                <w:vertAlign w:val="superscript"/>
              </w:rPr>
              <w:t>(2)</w:t>
            </w:r>
          </w:p>
        </w:tc>
        <w:tc>
          <w:tcPr>
            <w:tcW w:w="160" w:type="dxa"/>
            <w:vAlign w:val="bottom"/>
          </w:tcPr>
          <w:p>
            <w:pPr>
              <w:spacing w:after="0"/>
              <w:rPr>
                <w:sz w:val="18"/>
                <w:szCs w:val="18"/>
                <w:color w:val="auto"/>
              </w:rPr>
            </w:pPr>
          </w:p>
        </w:tc>
        <w:tc>
          <w:tcPr>
            <w:tcW w:w="214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20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52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6"/>
        </w:trPr>
        <w:tc>
          <w:tcPr>
            <w:tcW w:w="4480" w:type="dxa"/>
            <w:vAlign w:val="bottom"/>
            <w:shd w:val="clear" w:color="auto" w:fill="CCEEFF"/>
          </w:tcPr>
          <w:p>
            <w:pPr>
              <w:ind w:left="20"/>
              <w:spacing w:after="0" w:line="216" w:lineRule="exact"/>
              <w:rPr>
                <w:sz w:val="20"/>
                <w:szCs w:val="20"/>
                <w:color w:val="auto"/>
              </w:rPr>
            </w:pPr>
            <w:r>
              <w:rPr>
                <w:rFonts w:ascii="Times New Roman" w:cs="Times New Roman" w:eastAsia="Times New Roman" w:hAnsi="Times New Roman"/>
                <w:sz w:val="16"/>
                <w:szCs w:val="16"/>
                <w:color w:val="auto"/>
              </w:rPr>
              <w:t xml:space="preserve">Artisan Funds’ distributions not reinvested </w:t>
            </w:r>
            <w:r>
              <w:rPr>
                <w:rFonts w:ascii="Times New Roman" w:cs="Times New Roman" w:eastAsia="Times New Roman" w:hAnsi="Times New Roman"/>
                <w:sz w:val="21"/>
                <w:szCs w:val="21"/>
                <w:color w:val="auto"/>
                <w:vertAlign w:val="superscript"/>
              </w:rPr>
              <w:t>(3)</w:t>
            </w:r>
          </w:p>
        </w:tc>
        <w:tc>
          <w:tcPr>
            <w:tcW w:w="160" w:type="dxa"/>
            <w:vAlign w:val="bottom"/>
            <w:shd w:val="clear" w:color="auto" w:fill="CCEEFF"/>
          </w:tcPr>
          <w:p>
            <w:pPr>
              <w:spacing w:after="0"/>
              <w:rPr>
                <w:sz w:val="18"/>
                <w:szCs w:val="18"/>
                <w:color w:val="auto"/>
              </w:rPr>
            </w:pPr>
          </w:p>
        </w:tc>
        <w:tc>
          <w:tcPr>
            <w:tcW w:w="2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(116)</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520" w:type="dxa"/>
            <w:vAlign w:val="bottom"/>
            <w:shd w:val="clear" w:color="auto" w:fill="CCEEFF"/>
          </w:tcPr>
          <w:p>
            <w:pPr>
              <w:spacing w:after="0"/>
              <w:rPr>
                <w:sz w:val="18"/>
                <w:szCs w:val="18"/>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(116)</w:t>
            </w:r>
          </w:p>
        </w:tc>
        <w:tc>
          <w:tcPr>
            <w:tcW w:w="0" w:type="dxa"/>
            <w:vAlign w:val="bottom"/>
          </w:tcPr>
          <w:p>
            <w:pPr>
              <w:spacing w:after="0"/>
              <w:rPr>
                <w:sz w:val="1"/>
                <w:szCs w:val="1"/>
                <w:color w:val="auto"/>
              </w:rPr>
            </w:pPr>
          </w:p>
        </w:tc>
      </w:tr>
      <w:tr>
        <w:trPr>
          <w:trHeight w:val="213"/>
        </w:trPr>
        <w:tc>
          <w:tcPr>
            <w:tcW w:w="44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Investment returns and other</w:t>
            </w:r>
          </w:p>
        </w:tc>
        <w:tc>
          <w:tcPr>
            <w:tcW w:w="160" w:type="dxa"/>
            <w:vAlign w:val="bottom"/>
          </w:tcPr>
          <w:p>
            <w:pPr>
              <w:spacing w:after="0"/>
              <w:rPr>
                <w:sz w:val="18"/>
                <w:szCs w:val="18"/>
                <w:color w:val="auto"/>
              </w:rPr>
            </w:pPr>
          </w:p>
        </w:tc>
        <w:tc>
          <w:tcPr>
            <w:tcW w:w="2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2,318</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1,820</w:t>
            </w: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4,138</w:t>
            </w:r>
          </w:p>
        </w:tc>
        <w:tc>
          <w:tcPr>
            <w:tcW w:w="0" w:type="dxa"/>
            <w:vAlign w:val="bottom"/>
          </w:tcPr>
          <w:p>
            <w:pPr>
              <w:spacing w:after="0"/>
              <w:rPr>
                <w:sz w:val="1"/>
                <w:szCs w:val="1"/>
                <w:color w:val="auto"/>
              </w:rPr>
            </w:pPr>
          </w:p>
        </w:tc>
      </w:tr>
      <w:tr>
        <w:trPr>
          <w:trHeight w:val="219"/>
        </w:trPr>
        <w:tc>
          <w:tcPr>
            <w:tcW w:w="4480" w:type="dxa"/>
            <w:vAlign w:val="bottom"/>
            <w:shd w:val="clear" w:color="auto" w:fill="CCEEFF"/>
          </w:tcPr>
          <w:p>
            <w:pPr>
              <w:ind w:left="20"/>
              <w:spacing w:after="0" w:line="219" w:lineRule="exact"/>
              <w:rPr>
                <w:sz w:val="20"/>
                <w:szCs w:val="20"/>
                <w:color w:val="auto"/>
              </w:rPr>
            </w:pPr>
            <w:r>
              <w:rPr>
                <w:rFonts w:ascii="Times New Roman" w:cs="Times New Roman" w:eastAsia="Times New Roman" w:hAnsi="Times New Roman"/>
                <w:sz w:val="16"/>
                <w:szCs w:val="16"/>
                <w:color w:val="auto"/>
              </w:rPr>
              <w:t xml:space="preserve">Net transfers </w:t>
            </w:r>
            <w:r>
              <w:rPr>
                <w:rFonts w:ascii="Times New Roman" w:cs="Times New Roman" w:eastAsia="Times New Roman" w:hAnsi="Times New Roman"/>
                <w:sz w:val="21"/>
                <w:szCs w:val="21"/>
                <w:color w:val="auto"/>
                <w:vertAlign w:val="superscript"/>
              </w:rPr>
              <w:t>(4)</w:t>
            </w:r>
          </w:p>
        </w:tc>
        <w:tc>
          <w:tcPr>
            <w:tcW w:w="160" w:type="dxa"/>
            <w:vAlign w:val="bottom"/>
            <w:tcBorders>
              <w:bottom w:val="single" w:sz="8" w:color="auto"/>
            </w:tcBorders>
            <w:shd w:val="clear" w:color="auto" w:fill="CCEEFF"/>
          </w:tcPr>
          <w:p>
            <w:pPr>
              <w:spacing w:after="0"/>
              <w:rPr>
                <w:sz w:val="19"/>
                <w:szCs w:val="19"/>
                <w:color w:val="auto"/>
              </w:rPr>
            </w:pPr>
          </w:p>
        </w:tc>
        <w:tc>
          <w:tcPr>
            <w:tcW w:w="2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w:t>
            </w:r>
          </w:p>
        </w:tc>
        <w:tc>
          <w:tcPr>
            <w:tcW w:w="14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w:t>
            </w:r>
          </w:p>
        </w:tc>
        <w:tc>
          <w:tcPr>
            <w:tcW w:w="120" w:type="dxa"/>
            <w:vAlign w:val="bottom"/>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0"/>
        </w:trPr>
        <w:tc>
          <w:tcPr>
            <w:tcW w:w="44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Ending assets under management</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2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79,220</w:t>
            </w:r>
          </w:p>
        </w:tc>
        <w:tc>
          <w:tcPr>
            <w:tcW w:w="140" w:type="dxa"/>
            <w:vAlign w:val="bottom"/>
          </w:tcPr>
          <w:p>
            <w:pPr>
              <w:spacing w:after="0"/>
              <w:rPr>
                <w:sz w:val="18"/>
                <w:szCs w:val="18"/>
                <w:color w:val="auto"/>
              </w:rPr>
            </w:pPr>
          </w:p>
        </w:tc>
        <w:tc>
          <w:tcPr>
            <w:tcW w:w="20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83,170</w:t>
            </w:r>
          </w:p>
        </w:tc>
        <w:tc>
          <w:tcPr>
            <w:tcW w:w="120" w:type="dxa"/>
            <w:vAlign w:val="bottom"/>
          </w:tcPr>
          <w:p>
            <w:pPr>
              <w:spacing w:after="0"/>
              <w:rPr>
                <w:sz w:val="18"/>
                <w:szCs w:val="18"/>
                <w:color w:val="auto"/>
              </w:rPr>
            </w:pPr>
          </w:p>
        </w:tc>
        <w:tc>
          <w:tcPr>
            <w:tcW w:w="520" w:type="dxa"/>
            <w:vAlign w:val="bottom"/>
            <w:tcBorders>
              <w:bottom w:val="single" w:sz="8" w:color="auto"/>
            </w:tcBorders>
          </w:tcPr>
          <w:p>
            <w:pPr>
              <w:jc w:val="right"/>
              <w:ind w:right="339"/>
              <w:spacing w:after="0"/>
              <w:rPr>
                <w:sz w:val="20"/>
                <w:szCs w:val="20"/>
                <w:color w:val="auto"/>
              </w:rPr>
            </w:pPr>
            <w:r>
              <w:rPr>
                <w:rFonts w:ascii="Times New Roman" w:cs="Times New Roman" w:eastAsia="Times New Roman" w:hAnsi="Times New Roman"/>
                <w:sz w:val="16"/>
                <w:szCs w:val="16"/>
                <w:color w:val="auto"/>
                <w:w w:val="99"/>
              </w:rPr>
              <w:t>$</w:t>
            </w: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162,390</w:t>
            </w:r>
          </w:p>
        </w:tc>
        <w:tc>
          <w:tcPr>
            <w:tcW w:w="0" w:type="dxa"/>
            <w:vAlign w:val="bottom"/>
          </w:tcPr>
          <w:p>
            <w:pPr>
              <w:spacing w:after="0"/>
              <w:rPr>
                <w:sz w:val="1"/>
                <w:szCs w:val="1"/>
                <w:color w:val="auto"/>
              </w:rPr>
            </w:pPr>
          </w:p>
        </w:tc>
      </w:tr>
      <w:tr>
        <w:trPr>
          <w:trHeight w:val="20"/>
        </w:trPr>
        <w:tc>
          <w:tcPr>
            <w:tcW w:w="44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0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9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44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Average assets under management</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2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80,446</w:t>
            </w:r>
          </w:p>
        </w:tc>
        <w:tc>
          <w:tcPr>
            <w:tcW w:w="14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86,297</w:t>
            </w:r>
          </w:p>
        </w:tc>
        <w:tc>
          <w:tcPr>
            <w:tcW w:w="12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auto"/>
            </w:tcBorders>
            <w:shd w:val="clear" w:color="auto" w:fill="CCEEFF"/>
          </w:tcPr>
          <w:p>
            <w:pPr>
              <w:jc w:val="right"/>
              <w:ind w:right="339"/>
              <w:spacing w:after="0"/>
              <w:rPr>
                <w:sz w:val="20"/>
                <w:szCs w:val="20"/>
                <w:color w:val="auto"/>
              </w:rPr>
            </w:pPr>
            <w:r>
              <w:rPr>
                <w:rFonts w:ascii="Times New Roman" w:cs="Times New Roman" w:eastAsia="Times New Roman" w:hAnsi="Times New Roman"/>
                <w:sz w:val="16"/>
                <w:szCs w:val="16"/>
                <w:color w:val="auto"/>
                <w:w w:val="99"/>
              </w:rPr>
              <w:t>$</w:t>
            </w: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166,743</w:t>
            </w:r>
          </w:p>
        </w:tc>
        <w:tc>
          <w:tcPr>
            <w:tcW w:w="0" w:type="dxa"/>
            <w:vAlign w:val="bottom"/>
          </w:tcPr>
          <w:p>
            <w:pPr>
              <w:spacing w:after="0"/>
              <w:rPr>
                <w:sz w:val="1"/>
                <w:szCs w:val="1"/>
                <w:color w:val="auto"/>
              </w:rPr>
            </w:pPr>
          </w:p>
        </w:tc>
      </w:tr>
      <w:tr>
        <w:trPr>
          <w:trHeight w:val="20"/>
        </w:trPr>
        <w:tc>
          <w:tcPr>
            <w:tcW w:w="44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20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9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6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 w:lineRule="exact"/>
        <w:rPr>
          <w:sz w:val="20"/>
          <w:szCs w:val="20"/>
          <w:color w:val="auto"/>
        </w:rPr>
      </w:pPr>
    </w:p>
    <w:p>
      <w:pPr>
        <w:ind w:left="20" w:right="340" w:firstLine="6"/>
        <w:spacing w:after="0" w:line="248" w:lineRule="auto"/>
        <w:tabs>
          <w:tab w:leader="none" w:pos="152" w:val="left"/>
        </w:tabs>
        <w:numPr>
          <w:ilvl w:val="0"/>
          <w:numId w:val="23"/>
        </w:numPr>
        <w:rPr>
          <w:rFonts w:ascii="Times New Roman" w:cs="Times New Roman" w:eastAsia="Times New Roman" w:hAnsi="Times New Roman"/>
          <w:sz w:val="16"/>
          <w:szCs w:val="16"/>
          <w:color w:val="auto"/>
          <w:vertAlign w:val="superscript"/>
        </w:rPr>
      </w:pPr>
      <w:r>
        <w:rPr>
          <w:rFonts w:ascii="Times New Roman" w:cs="Times New Roman" w:eastAsia="Times New Roman" w:hAnsi="Times New Roman"/>
          <w:sz w:val="12"/>
          <w:szCs w:val="12"/>
          <w:color w:val="auto"/>
        </w:rPr>
        <w:t>Separate accounts and other consists of AUM we manage in or through vehicles other than Artisan Funds or Artisan Global Funds, and therefore includes assets we manage in traditional separate accounts, Artisan-branded collective investment trusts and Artisan Private Funds, as well as certain assets managed by the Credit team within custom, investor-driven mandates and assets under advisement for certain strategies for which we provide model portfolios to managed account sponsors.</w:t>
      </w:r>
    </w:p>
    <w:p>
      <w:pPr>
        <w:ind w:left="180" w:hanging="154"/>
        <w:spacing w:after="0" w:line="237" w:lineRule="auto"/>
        <w:tabs>
          <w:tab w:leader="none" w:pos="180" w:val="left"/>
        </w:tabs>
        <w:numPr>
          <w:ilvl w:val="0"/>
          <w:numId w:val="23"/>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Represents assets acquired upon the closing of the Grandview Property Partners acquisition.</w:t>
      </w:r>
    </w:p>
    <w:p>
      <w:pPr>
        <w:spacing w:after="0" w:line="55" w:lineRule="exact"/>
        <w:rPr>
          <w:rFonts w:ascii="Times New Roman" w:cs="Times New Roman" w:eastAsia="Times New Roman" w:hAnsi="Times New Roman"/>
          <w:sz w:val="19"/>
          <w:szCs w:val="19"/>
          <w:color w:val="auto"/>
          <w:vertAlign w:val="superscript"/>
        </w:rPr>
      </w:pPr>
    </w:p>
    <w:p>
      <w:pPr>
        <w:ind w:left="180" w:hanging="154"/>
        <w:spacing w:after="0" w:line="206" w:lineRule="auto"/>
        <w:tabs>
          <w:tab w:leader="none" w:pos="180" w:val="left"/>
        </w:tabs>
        <w:numPr>
          <w:ilvl w:val="0"/>
          <w:numId w:val="23"/>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Artisan Funds’ distributions not reinvested represents the amount of income and capital gain distributions that were not reinvested in the Artisan Funds.</w:t>
      </w:r>
    </w:p>
    <w:p>
      <w:pPr>
        <w:spacing w:after="0" w:line="30" w:lineRule="exact"/>
        <w:rPr>
          <w:rFonts w:ascii="Times New Roman" w:cs="Times New Roman" w:eastAsia="Times New Roman" w:hAnsi="Times New Roman"/>
          <w:sz w:val="19"/>
          <w:szCs w:val="19"/>
          <w:color w:val="auto"/>
          <w:vertAlign w:val="superscript"/>
        </w:rPr>
      </w:pPr>
    </w:p>
    <w:p>
      <w:pPr>
        <w:ind w:left="20" w:right="280" w:firstLine="6"/>
        <w:spacing w:after="0"/>
        <w:tabs>
          <w:tab w:leader="none" w:pos="152" w:val="left"/>
        </w:tabs>
        <w:numPr>
          <w:ilvl w:val="0"/>
          <w:numId w:val="23"/>
        </w:numPr>
        <w:rPr>
          <w:rFonts w:ascii="Times New Roman" w:cs="Times New Roman" w:eastAsia="Times New Roman" w:hAnsi="Times New Roman"/>
          <w:sz w:val="16"/>
          <w:szCs w:val="16"/>
          <w:color w:val="auto"/>
          <w:vertAlign w:val="superscript"/>
        </w:rPr>
      </w:pPr>
      <w:r>
        <w:rPr>
          <w:rFonts w:ascii="Times New Roman" w:cs="Times New Roman" w:eastAsia="Times New Roman" w:hAnsi="Times New Roman"/>
          <w:sz w:val="12"/>
          <w:szCs w:val="12"/>
          <w:color w:val="auto"/>
        </w:rPr>
        <w:t>Net transfers represent certain amounts that we have identified as having been transferred out of one investment strategy, investment vehicle or account and into another strategy, vehicle or account.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480" w:type="dxa"/>
            <w:vAlign w:val="bottom"/>
          </w:tcPr>
          <w:p>
            <w:pPr>
              <w:spacing w:after="0"/>
              <w:rPr>
                <w:sz w:val="20"/>
                <w:szCs w:val="20"/>
                <w:color w:val="auto"/>
              </w:rPr>
            </w:pPr>
            <w:r>
              <w:rPr>
                <w:rFonts w:ascii="Times New Roman" w:cs="Times New Roman" w:eastAsia="Times New Roman" w:hAnsi="Times New Roman"/>
                <w:sz w:val="16"/>
                <w:szCs w:val="16"/>
                <w:color w:val="auto"/>
              </w:rPr>
              <w:t>The following table sets forth our AUM by asset class:</w:t>
            </w:r>
          </w:p>
        </w:tc>
        <w:tc>
          <w:tcPr>
            <w:tcW w:w="3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448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30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gridSpan w:val="2"/>
          </w:tcPr>
          <w:p>
            <w:pPr>
              <w:ind w:left="200"/>
              <w:spacing w:after="0" w:line="236" w:lineRule="exact"/>
              <w:rPr>
                <w:sz w:val="20"/>
                <w:szCs w:val="20"/>
                <w:color w:val="auto"/>
              </w:rPr>
            </w:pPr>
            <w:r>
              <w:rPr>
                <w:rFonts w:ascii="Times New Roman" w:cs="Times New Roman" w:eastAsia="Times New Roman" w:hAnsi="Times New Roman"/>
                <w:sz w:val="16"/>
                <w:szCs w:val="16"/>
                <w:b w:val="1"/>
                <w:bCs w:val="1"/>
                <w:color w:val="auto"/>
              </w:rPr>
              <w:t xml:space="preserve">Equity </w:t>
            </w:r>
            <w:r>
              <w:rPr>
                <w:rFonts w:ascii="Times New Roman" w:cs="Times New Roman" w:eastAsia="Times New Roman" w:hAnsi="Times New Roman"/>
                <w:sz w:val="21"/>
                <w:szCs w:val="21"/>
                <w:b w:val="1"/>
                <w:bCs w:val="1"/>
                <w:color w:val="auto"/>
                <w:vertAlign w:val="superscript"/>
              </w:rPr>
              <w:t>(1)</w:t>
            </w:r>
          </w:p>
        </w:tc>
        <w:tc>
          <w:tcPr>
            <w:tcW w:w="30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gridSpan w:val="2"/>
          </w:tcPr>
          <w:p>
            <w:pPr>
              <w:ind w:left="200"/>
              <w:spacing w:after="0" w:line="236" w:lineRule="exact"/>
              <w:rPr>
                <w:sz w:val="20"/>
                <w:szCs w:val="20"/>
                <w:color w:val="auto"/>
              </w:rPr>
            </w:pPr>
            <w:r>
              <w:rPr>
                <w:rFonts w:ascii="Times New Roman" w:cs="Times New Roman" w:eastAsia="Times New Roman" w:hAnsi="Times New Roman"/>
                <w:sz w:val="16"/>
                <w:szCs w:val="16"/>
                <w:b w:val="1"/>
                <w:bCs w:val="1"/>
                <w:color w:val="auto"/>
              </w:rPr>
              <w:t xml:space="preserve">Credit </w:t>
            </w:r>
            <w:r>
              <w:rPr>
                <w:rFonts w:ascii="Times New Roman" w:cs="Times New Roman" w:eastAsia="Times New Roman" w:hAnsi="Times New Roman"/>
                <w:sz w:val="21"/>
                <w:szCs w:val="21"/>
                <w:b w:val="1"/>
                <w:bCs w:val="1"/>
                <w:color w:val="auto"/>
                <w:vertAlign w:val="superscript"/>
              </w:rPr>
              <w:t>(1)</w:t>
            </w:r>
          </w:p>
        </w:tc>
        <w:tc>
          <w:tcPr>
            <w:tcW w:w="22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gridSpan w:val="2"/>
          </w:tcPr>
          <w:p>
            <w:pPr>
              <w:ind w:left="120"/>
              <w:spacing w:after="0" w:line="236" w:lineRule="exact"/>
              <w:rPr>
                <w:sz w:val="20"/>
                <w:szCs w:val="20"/>
                <w:color w:val="auto"/>
              </w:rPr>
            </w:pPr>
            <w:r>
              <w:rPr>
                <w:rFonts w:ascii="Times New Roman" w:cs="Times New Roman" w:eastAsia="Times New Roman" w:hAnsi="Times New Roman"/>
                <w:sz w:val="16"/>
                <w:szCs w:val="16"/>
                <w:b w:val="1"/>
                <w:bCs w:val="1"/>
                <w:color w:val="auto"/>
              </w:rPr>
              <w:t xml:space="preserve">Alternative </w:t>
            </w:r>
            <w:r>
              <w:rPr>
                <w:rFonts w:ascii="Times New Roman" w:cs="Times New Roman" w:eastAsia="Times New Roman" w:hAnsi="Times New Roman"/>
                <w:sz w:val="21"/>
                <w:szCs w:val="21"/>
                <w:b w:val="1"/>
                <w:bCs w:val="1"/>
                <w:color w:val="auto"/>
                <w:vertAlign w:val="superscript"/>
              </w:rPr>
              <w:t>(1)</w:t>
            </w:r>
          </w:p>
        </w:tc>
        <w:tc>
          <w:tcPr>
            <w:tcW w:w="36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539"/>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207"/>
        </w:trPr>
        <w:tc>
          <w:tcPr>
            <w:tcW w:w="448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March 31, 2026</w:t>
            </w:r>
          </w:p>
        </w:tc>
        <w:tc>
          <w:tcPr>
            <w:tcW w:w="3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140" w:type="dxa"/>
            <w:vAlign w:val="bottom"/>
            <w:gridSpan w:val="5"/>
          </w:tcPr>
          <w:p>
            <w:pPr>
              <w:ind w:left="600"/>
              <w:spacing w:after="0"/>
              <w:rPr>
                <w:sz w:val="20"/>
                <w:szCs w:val="20"/>
                <w:color w:val="auto"/>
              </w:rPr>
            </w:pPr>
            <w:r>
              <w:rPr>
                <w:rFonts w:ascii="Times New Roman" w:cs="Times New Roman" w:eastAsia="Times New Roman" w:hAnsi="Times New Roman"/>
                <w:sz w:val="16"/>
                <w:szCs w:val="16"/>
                <w:color w:val="auto"/>
              </w:rPr>
              <w:t>(unaudited; in millions)</w:t>
            </w:r>
          </w:p>
        </w:tc>
        <w:tc>
          <w:tcPr>
            <w:tcW w:w="3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4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Beginning assets under management</w:t>
            </w:r>
          </w:p>
        </w:tc>
        <w:tc>
          <w:tcPr>
            <w:tcW w:w="3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158,018</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17,877</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4,033</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179,928</w:t>
            </w:r>
          </w:p>
        </w:tc>
        <w:tc>
          <w:tcPr>
            <w:tcW w:w="0" w:type="dxa"/>
            <w:vAlign w:val="bottom"/>
          </w:tcPr>
          <w:p>
            <w:pPr>
              <w:spacing w:after="0"/>
              <w:rPr>
                <w:sz w:val="1"/>
                <w:szCs w:val="1"/>
                <w:color w:val="auto"/>
              </w:rPr>
            </w:pPr>
          </w:p>
        </w:tc>
      </w:tr>
      <w:tr>
        <w:trPr>
          <w:trHeight w:val="213"/>
        </w:trPr>
        <w:tc>
          <w:tcPr>
            <w:tcW w:w="448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Gross client cash inflows</w:t>
            </w:r>
          </w:p>
        </w:tc>
        <w:tc>
          <w:tcPr>
            <w:tcW w:w="3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6,916</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1,499</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773</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9,188</w:t>
            </w:r>
          </w:p>
        </w:tc>
        <w:tc>
          <w:tcPr>
            <w:tcW w:w="0" w:type="dxa"/>
            <w:vAlign w:val="bottom"/>
          </w:tcPr>
          <w:p>
            <w:pPr>
              <w:spacing w:after="0"/>
              <w:rPr>
                <w:sz w:val="1"/>
                <w:szCs w:val="1"/>
                <w:color w:val="auto"/>
              </w:rPr>
            </w:pPr>
          </w:p>
        </w:tc>
      </w:tr>
      <w:tr>
        <w:trPr>
          <w:trHeight w:val="219"/>
        </w:trPr>
        <w:tc>
          <w:tcPr>
            <w:tcW w:w="44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Gross client cash outflows</w:t>
            </w:r>
          </w:p>
        </w:tc>
        <w:tc>
          <w:tcPr>
            <w:tcW w:w="30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(11,152)</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(681)</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(472)</w:t>
            </w: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(12,305)</w:t>
            </w:r>
          </w:p>
        </w:tc>
        <w:tc>
          <w:tcPr>
            <w:tcW w:w="0" w:type="dxa"/>
            <w:vAlign w:val="bottom"/>
          </w:tcPr>
          <w:p>
            <w:pPr>
              <w:spacing w:after="0"/>
              <w:rPr>
                <w:sz w:val="1"/>
                <w:szCs w:val="1"/>
                <w:color w:val="auto"/>
              </w:rPr>
            </w:pPr>
          </w:p>
        </w:tc>
      </w:tr>
      <w:tr>
        <w:trPr>
          <w:trHeight w:val="207"/>
        </w:trPr>
        <w:tc>
          <w:tcPr>
            <w:tcW w:w="44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client cash flows</w:t>
            </w:r>
          </w:p>
        </w:tc>
        <w:tc>
          <w:tcPr>
            <w:tcW w:w="30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(4,236)</w:t>
            </w: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818</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301</w:t>
            </w: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(3,117)</w:t>
            </w:r>
          </w:p>
        </w:tc>
        <w:tc>
          <w:tcPr>
            <w:tcW w:w="0" w:type="dxa"/>
            <w:vAlign w:val="bottom"/>
          </w:tcPr>
          <w:p>
            <w:pPr>
              <w:spacing w:after="0"/>
              <w:rPr>
                <w:sz w:val="1"/>
                <w:szCs w:val="1"/>
                <w:color w:val="auto"/>
              </w:rPr>
            </w:pPr>
          </w:p>
        </w:tc>
      </w:tr>
      <w:tr>
        <w:trPr>
          <w:trHeight w:val="219"/>
        </w:trPr>
        <w:tc>
          <w:tcPr>
            <w:tcW w:w="4480" w:type="dxa"/>
            <w:vAlign w:val="bottom"/>
            <w:shd w:val="clear" w:color="auto" w:fill="CCEEFF"/>
          </w:tcPr>
          <w:p>
            <w:pPr>
              <w:ind w:left="20"/>
              <w:spacing w:after="0" w:line="219" w:lineRule="exact"/>
              <w:rPr>
                <w:sz w:val="20"/>
                <w:szCs w:val="20"/>
                <w:color w:val="auto"/>
              </w:rPr>
            </w:pPr>
            <w:r>
              <w:rPr>
                <w:rFonts w:ascii="Times New Roman" w:cs="Times New Roman" w:eastAsia="Times New Roman" w:hAnsi="Times New Roman"/>
                <w:sz w:val="16"/>
                <w:szCs w:val="16"/>
                <w:color w:val="auto"/>
              </w:rPr>
              <w:t xml:space="preserve">Acquisitions </w:t>
            </w:r>
            <w:r>
              <w:rPr>
                <w:rFonts w:ascii="Times New Roman" w:cs="Times New Roman" w:eastAsia="Times New Roman" w:hAnsi="Times New Roman"/>
                <w:sz w:val="21"/>
                <w:szCs w:val="21"/>
                <w:color w:val="auto"/>
                <w:vertAlign w:val="superscript"/>
              </w:rPr>
              <w:t>(2)</w:t>
            </w:r>
          </w:p>
        </w:tc>
        <w:tc>
          <w:tcPr>
            <w:tcW w:w="30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880</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880</w:t>
            </w:r>
          </w:p>
        </w:tc>
        <w:tc>
          <w:tcPr>
            <w:tcW w:w="0" w:type="dxa"/>
            <w:vAlign w:val="bottom"/>
          </w:tcPr>
          <w:p>
            <w:pPr>
              <w:spacing w:after="0"/>
              <w:rPr>
                <w:sz w:val="1"/>
                <w:szCs w:val="1"/>
                <w:color w:val="auto"/>
              </w:rPr>
            </w:pPr>
          </w:p>
        </w:tc>
      </w:tr>
      <w:tr>
        <w:trPr>
          <w:trHeight w:val="216"/>
        </w:trPr>
        <w:tc>
          <w:tcPr>
            <w:tcW w:w="4480" w:type="dxa"/>
            <w:vAlign w:val="bottom"/>
          </w:tcPr>
          <w:p>
            <w:pPr>
              <w:ind w:left="20"/>
              <w:spacing w:after="0" w:line="216" w:lineRule="exact"/>
              <w:rPr>
                <w:sz w:val="20"/>
                <w:szCs w:val="20"/>
                <w:color w:val="auto"/>
              </w:rPr>
            </w:pPr>
            <w:r>
              <w:rPr>
                <w:rFonts w:ascii="Times New Roman" w:cs="Times New Roman" w:eastAsia="Times New Roman" w:hAnsi="Times New Roman"/>
                <w:sz w:val="16"/>
                <w:szCs w:val="16"/>
                <w:color w:val="auto"/>
              </w:rPr>
              <w:t xml:space="preserve">Artisan Funds’ distributions not reinvested </w:t>
            </w:r>
            <w:r>
              <w:rPr>
                <w:rFonts w:ascii="Times New Roman" w:cs="Times New Roman" w:eastAsia="Times New Roman" w:hAnsi="Times New Roman"/>
                <w:sz w:val="21"/>
                <w:szCs w:val="21"/>
                <w:color w:val="auto"/>
                <w:vertAlign w:val="superscript"/>
              </w:rPr>
              <w:t>(3)</w:t>
            </w:r>
          </w:p>
        </w:tc>
        <w:tc>
          <w:tcPr>
            <w:tcW w:w="3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(102)</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(134)</w:t>
            </w:r>
          </w:p>
        </w:tc>
        <w:tc>
          <w:tcPr>
            <w:tcW w:w="0" w:type="dxa"/>
            <w:vAlign w:val="bottom"/>
          </w:tcPr>
          <w:p>
            <w:pPr>
              <w:spacing w:after="0"/>
              <w:rPr>
                <w:sz w:val="1"/>
                <w:szCs w:val="1"/>
                <w:color w:val="auto"/>
              </w:rPr>
            </w:pPr>
          </w:p>
        </w:tc>
      </w:tr>
      <w:tr>
        <w:trPr>
          <w:trHeight w:val="213"/>
        </w:trPr>
        <w:tc>
          <w:tcPr>
            <w:tcW w:w="4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Investment returns and other</w:t>
            </w:r>
          </w:p>
        </w:tc>
        <w:tc>
          <w:tcPr>
            <w:tcW w:w="30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(4,346)</w:t>
            </w:r>
          </w:p>
        </w:tc>
        <w:tc>
          <w:tcPr>
            <w:tcW w:w="12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(195)</w:t>
            </w:r>
          </w:p>
        </w:tc>
        <w:tc>
          <w:tcPr>
            <w:tcW w:w="1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w:t>
            </w:r>
          </w:p>
        </w:tc>
        <w:tc>
          <w:tcPr>
            <w:tcW w:w="12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(4,576)</w:t>
            </w:r>
          </w:p>
        </w:tc>
        <w:tc>
          <w:tcPr>
            <w:tcW w:w="0" w:type="dxa"/>
            <w:vAlign w:val="bottom"/>
          </w:tcPr>
          <w:p>
            <w:pPr>
              <w:spacing w:after="0"/>
              <w:rPr>
                <w:sz w:val="1"/>
                <w:szCs w:val="1"/>
                <w:color w:val="auto"/>
              </w:rPr>
            </w:pPr>
          </w:p>
        </w:tc>
      </w:tr>
      <w:tr>
        <w:trPr>
          <w:trHeight w:val="212"/>
        </w:trPr>
        <w:tc>
          <w:tcPr>
            <w:tcW w:w="44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Ending assets under management</w:t>
            </w:r>
          </w:p>
        </w:tc>
        <w:tc>
          <w:tcPr>
            <w:tcW w:w="30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149,407</w:t>
            </w:r>
          </w:p>
        </w:tc>
        <w:tc>
          <w:tcPr>
            <w:tcW w:w="120" w:type="dxa"/>
            <w:vAlign w:val="bottom"/>
          </w:tcPr>
          <w:p>
            <w:pPr>
              <w:spacing w:after="0"/>
              <w:rPr>
                <w:sz w:val="18"/>
                <w:szCs w:val="18"/>
                <w:color w:val="auto"/>
              </w:rPr>
            </w:pPr>
          </w:p>
        </w:tc>
        <w:tc>
          <w:tcPr>
            <w:tcW w:w="30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18,398</w:t>
            </w:r>
          </w:p>
        </w:tc>
        <w:tc>
          <w:tcPr>
            <w:tcW w:w="120" w:type="dxa"/>
            <w:vAlign w:val="bottom"/>
          </w:tcPr>
          <w:p>
            <w:pPr>
              <w:spacing w:after="0"/>
              <w:rPr>
                <w:sz w:val="18"/>
                <w:szCs w:val="18"/>
                <w:color w:val="auto"/>
              </w:rPr>
            </w:pPr>
          </w:p>
        </w:tc>
        <w:tc>
          <w:tcPr>
            <w:tcW w:w="2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5,176</w:t>
            </w:r>
          </w:p>
        </w:tc>
        <w:tc>
          <w:tcPr>
            <w:tcW w:w="120" w:type="dxa"/>
            <w:vAlign w:val="bottom"/>
          </w:tcPr>
          <w:p>
            <w:pPr>
              <w:spacing w:after="0"/>
              <w:rPr>
                <w:sz w:val="18"/>
                <w:szCs w:val="18"/>
                <w:color w:val="auto"/>
              </w:rPr>
            </w:pPr>
          </w:p>
        </w:tc>
        <w:tc>
          <w:tcPr>
            <w:tcW w:w="360" w:type="dxa"/>
            <w:vAlign w:val="bottom"/>
            <w:tcBorders>
              <w:bottom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172,981</w:t>
            </w:r>
          </w:p>
        </w:tc>
        <w:tc>
          <w:tcPr>
            <w:tcW w:w="0" w:type="dxa"/>
            <w:vAlign w:val="bottom"/>
          </w:tcPr>
          <w:p>
            <w:pPr>
              <w:spacing w:after="0"/>
              <w:rPr>
                <w:sz w:val="1"/>
                <w:szCs w:val="1"/>
                <w:color w:val="auto"/>
              </w:rPr>
            </w:pPr>
          </w:p>
        </w:tc>
      </w:tr>
      <w:tr>
        <w:trPr>
          <w:trHeight w:val="20"/>
        </w:trPr>
        <w:tc>
          <w:tcPr>
            <w:tcW w:w="448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44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Average assets under management</w:t>
            </w: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158,954</w:t>
            </w: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18,321</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5,128</w:t>
            </w:r>
          </w:p>
        </w:tc>
        <w:tc>
          <w:tcPr>
            <w:tcW w:w="12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182,403</w:t>
            </w:r>
          </w:p>
        </w:tc>
        <w:tc>
          <w:tcPr>
            <w:tcW w:w="0" w:type="dxa"/>
            <w:vAlign w:val="bottom"/>
          </w:tcPr>
          <w:p>
            <w:pPr>
              <w:spacing w:after="0"/>
              <w:rPr>
                <w:sz w:val="1"/>
                <w:szCs w:val="1"/>
                <w:color w:val="auto"/>
              </w:rPr>
            </w:pPr>
          </w:p>
        </w:tc>
      </w:tr>
      <w:tr>
        <w:trPr>
          <w:trHeight w:val="20"/>
        </w:trPr>
        <w:tc>
          <w:tcPr>
            <w:tcW w:w="448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March 31, 2025</w:t>
            </w: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1"/>
        </w:trPr>
        <w:tc>
          <w:tcPr>
            <w:tcW w:w="4480" w:type="dxa"/>
            <w:vAlign w:val="bottom"/>
            <w:vMerge w:val="continue"/>
          </w:tcPr>
          <w:p>
            <w:pPr>
              <w:spacing w:after="0"/>
              <w:rPr>
                <w:sz w:val="14"/>
                <w:szCs w:val="14"/>
                <w:color w:val="auto"/>
              </w:rPr>
            </w:pPr>
          </w:p>
        </w:tc>
        <w:tc>
          <w:tcPr>
            <w:tcW w:w="3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8"/>
        </w:trPr>
        <w:tc>
          <w:tcPr>
            <w:tcW w:w="4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Beginning assets under management</w:t>
            </w:r>
          </w:p>
        </w:tc>
        <w:tc>
          <w:tcPr>
            <w:tcW w:w="3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143,969</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13,877</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3,362</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161,208</w:t>
            </w:r>
          </w:p>
        </w:tc>
        <w:tc>
          <w:tcPr>
            <w:tcW w:w="0" w:type="dxa"/>
            <w:vAlign w:val="bottom"/>
          </w:tcPr>
          <w:p>
            <w:pPr>
              <w:spacing w:after="0"/>
              <w:rPr>
                <w:sz w:val="1"/>
                <w:szCs w:val="1"/>
                <w:color w:val="auto"/>
              </w:rPr>
            </w:pPr>
          </w:p>
        </w:tc>
      </w:tr>
      <w:tr>
        <w:trPr>
          <w:trHeight w:val="213"/>
        </w:trPr>
        <w:tc>
          <w:tcPr>
            <w:tcW w:w="448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Gross client cash inflows</w:t>
            </w:r>
          </w:p>
        </w:tc>
        <w:tc>
          <w:tcPr>
            <w:tcW w:w="3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5,500</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1,212</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302</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7,014</w:t>
            </w:r>
          </w:p>
        </w:tc>
        <w:tc>
          <w:tcPr>
            <w:tcW w:w="0" w:type="dxa"/>
            <w:vAlign w:val="bottom"/>
          </w:tcPr>
          <w:p>
            <w:pPr>
              <w:spacing w:after="0"/>
              <w:rPr>
                <w:sz w:val="1"/>
                <w:szCs w:val="1"/>
                <w:color w:val="auto"/>
              </w:rPr>
            </w:pPr>
          </w:p>
        </w:tc>
      </w:tr>
      <w:tr>
        <w:trPr>
          <w:trHeight w:val="219"/>
        </w:trPr>
        <w:tc>
          <w:tcPr>
            <w:tcW w:w="44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Gross client cash outflows</w:t>
            </w:r>
          </w:p>
        </w:tc>
        <w:tc>
          <w:tcPr>
            <w:tcW w:w="30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(8,986)</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(628)</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(240)</w:t>
            </w: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(9,854)</w:t>
            </w:r>
          </w:p>
        </w:tc>
        <w:tc>
          <w:tcPr>
            <w:tcW w:w="0" w:type="dxa"/>
            <w:vAlign w:val="bottom"/>
          </w:tcPr>
          <w:p>
            <w:pPr>
              <w:spacing w:after="0"/>
              <w:rPr>
                <w:sz w:val="1"/>
                <w:szCs w:val="1"/>
                <w:color w:val="auto"/>
              </w:rPr>
            </w:pPr>
          </w:p>
        </w:tc>
      </w:tr>
      <w:tr>
        <w:trPr>
          <w:trHeight w:val="207"/>
        </w:trPr>
        <w:tc>
          <w:tcPr>
            <w:tcW w:w="44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client cash flows</w:t>
            </w:r>
          </w:p>
        </w:tc>
        <w:tc>
          <w:tcPr>
            <w:tcW w:w="30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(3,486)</w:t>
            </w: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584</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w:t>
            </w: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(2,840)</w:t>
            </w:r>
          </w:p>
        </w:tc>
        <w:tc>
          <w:tcPr>
            <w:tcW w:w="0" w:type="dxa"/>
            <w:vAlign w:val="bottom"/>
          </w:tcPr>
          <w:p>
            <w:pPr>
              <w:spacing w:after="0"/>
              <w:rPr>
                <w:sz w:val="1"/>
                <w:szCs w:val="1"/>
                <w:color w:val="auto"/>
              </w:rPr>
            </w:pPr>
          </w:p>
        </w:tc>
      </w:tr>
      <w:tr>
        <w:trPr>
          <w:trHeight w:val="219"/>
        </w:trPr>
        <w:tc>
          <w:tcPr>
            <w:tcW w:w="4480" w:type="dxa"/>
            <w:vAlign w:val="bottom"/>
            <w:shd w:val="clear" w:color="auto" w:fill="CCEEFF"/>
          </w:tcPr>
          <w:p>
            <w:pPr>
              <w:ind w:left="20"/>
              <w:spacing w:after="0" w:line="219" w:lineRule="exact"/>
              <w:rPr>
                <w:sz w:val="20"/>
                <w:szCs w:val="20"/>
                <w:color w:val="auto"/>
              </w:rPr>
            </w:pPr>
            <w:r>
              <w:rPr>
                <w:rFonts w:ascii="Times New Roman" w:cs="Times New Roman" w:eastAsia="Times New Roman" w:hAnsi="Times New Roman"/>
                <w:sz w:val="16"/>
                <w:szCs w:val="16"/>
                <w:color w:val="auto"/>
              </w:rPr>
              <w:t xml:space="preserve">Acquisitions </w:t>
            </w:r>
            <w:r>
              <w:rPr>
                <w:rFonts w:ascii="Times New Roman" w:cs="Times New Roman" w:eastAsia="Times New Roman" w:hAnsi="Times New Roman"/>
                <w:sz w:val="21"/>
                <w:szCs w:val="21"/>
                <w:color w:val="auto"/>
                <w:vertAlign w:val="superscript"/>
              </w:rPr>
              <w:t>(2)</w:t>
            </w:r>
          </w:p>
        </w:tc>
        <w:tc>
          <w:tcPr>
            <w:tcW w:w="30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9"/>
                <w:szCs w:val="19"/>
                <w:color w:val="auto"/>
              </w:rPr>
            </w:pPr>
          </w:p>
        </w:tc>
        <w:tc>
          <w:tcPr>
            <w:tcW w:w="15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6"/>
        </w:trPr>
        <w:tc>
          <w:tcPr>
            <w:tcW w:w="4480" w:type="dxa"/>
            <w:vAlign w:val="bottom"/>
          </w:tcPr>
          <w:p>
            <w:pPr>
              <w:ind w:left="20"/>
              <w:spacing w:after="0" w:line="216" w:lineRule="exact"/>
              <w:rPr>
                <w:sz w:val="20"/>
                <w:szCs w:val="20"/>
                <w:color w:val="auto"/>
              </w:rPr>
            </w:pPr>
            <w:r>
              <w:rPr>
                <w:rFonts w:ascii="Times New Roman" w:cs="Times New Roman" w:eastAsia="Times New Roman" w:hAnsi="Times New Roman"/>
                <w:sz w:val="16"/>
                <w:szCs w:val="16"/>
                <w:color w:val="auto"/>
              </w:rPr>
              <w:t xml:space="preserve">Artisan Funds’ distributions not reinvested </w:t>
            </w:r>
            <w:r>
              <w:rPr>
                <w:rFonts w:ascii="Times New Roman" w:cs="Times New Roman" w:eastAsia="Times New Roman" w:hAnsi="Times New Roman"/>
                <w:sz w:val="21"/>
                <w:szCs w:val="21"/>
                <w:color w:val="auto"/>
                <w:vertAlign w:val="superscript"/>
              </w:rPr>
              <w:t>(3)</w:t>
            </w:r>
          </w:p>
        </w:tc>
        <w:tc>
          <w:tcPr>
            <w:tcW w:w="3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(91)</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(116)</w:t>
            </w:r>
          </w:p>
        </w:tc>
        <w:tc>
          <w:tcPr>
            <w:tcW w:w="0" w:type="dxa"/>
            <w:vAlign w:val="bottom"/>
          </w:tcPr>
          <w:p>
            <w:pPr>
              <w:spacing w:after="0"/>
              <w:rPr>
                <w:sz w:val="1"/>
                <w:szCs w:val="1"/>
                <w:color w:val="auto"/>
              </w:rPr>
            </w:pPr>
          </w:p>
        </w:tc>
      </w:tr>
      <w:tr>
        <w:trPr>
          <w:trHeight w:val="213"/>
        </w:trPr>
        <w:tc>
          <w:tcPr>
            <w:tcW w:w="4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Investment returns and other</w:t>
            </w:r>
          </w:p>
        </w:tc>
        <w:tc>
          <w:tcPr>
            <w:tcW w:w="30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3,942</w:t>
            </w:r>
          </w:p>
        </w:tc>
        <w:tc>
          <w:tcPr>
            <w:tcW w:w="12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216</w:t>
            </w:r>
          </w:p>
        </w:tc>
        <w:tc>
          <w:tcPr>
            <w:tcW w:w="1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w:t>
            </w:r>
          </w:p>
        </w:tc>
        <w:tc>
          <w:tcPr>
            <w:tcW w:w="12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4,138</w:t>
            </w:r>
          </w:p>
        </w:tc>
        <w:tc>
          <w:tcPr>
            <w:tcW w:w="0" w:type="dxa"/>
            <w:vAlign w:val="bottom"/>
          </w:tcPr>
          <w:p>
            <w:pPr>
              <w:spacing w:after="0"/>
              <w:rPr>
                <w:sz w:val="1"/>
                <w:szCs w:val="1"/>
                <w:color w:val="auto"/>
              </w:rPr>
            </w:pPr>
          </w:p>
        </w:tc>
      </w:tr>
      <w:tr>
        <w:trPr>
          <w:trHeight w:val="212"/>
        </w:trPr>
        <w:tc>
          <w:tcPr>
            <w:tcW w:w="44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Ending assets under management</w:t>
            </w:r>
          </w:p>
        </w:tc>
        <w:tc>
          <w:tcPr>
            <w:tcW w:w="30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144,401</w:t>
            </w:r>
          </w:p>
        </w:tc>
        <w:tc>
          <w:tcPr>
            <w:tcW w:w="120" w:type="dxa"/>
            <w:vAlign w:val="bottom"/>
          </w:tcPr>
          <w:p>
            <w:pPr>
              <w:spacing w:after="0"/>
              <w:rPr>
                <w:sz w:val="18"/>
                <w:szCs w:val="18"/>
                <w:color w:val="auto"/>
              </w:rPr>
            </w:pPr>
          </w:p>
        </w:tc>
        <w:tc>
          <w:tcPr>
            <w:tcW w:w="30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14,586</w:t>
            </w:r>
          </w:p>
        </w:tc>
        <w:tc>
          <w:tcPr>
            <w:tcW w:w="120" w:type="dxa"/>
            <w:vAlign w:val="bottom"/>
          </w:tcPr>
          <w:p>
            <w:pPr>
              <w:spacing w:after="0"/>
              <w:rPr>
                <w:sz w:val="18"/>
                <w:szCs w:val="18"/>
                <w:color w:val="auto"/>
              </w:rPr>
            </w:pPr>
          </w:p>
        </w:tc>
        <w:tc>
          <w:tcPr>
            <w:tcW w:w="2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3,403</w:t>
            </w:r>
          </w:p>
        </w:tc>
        <w:tc>
          <w:tcPr>
            <w:tcW w:w="120" w:type="dxa"/>
            <w:vAlign w:val="bottom"/>
          </w:tcPr>
          <w:p>
            <w:pPr>
              <w:spacing w:after="0"/>
              <w:rPr>
                <w:sz w:val="18"/>
                <w:szCs w:val="18"/>
                <w:color w:val="auto"/>
              </w:rPr>
            </w:pPr>
          </w:p>
        </w:tc>
        <w:tc>
          <w:tcPr>
            <w:tcW w:w="360" w:type="dxa"/>
            <w:vAlign w:val="bottom"/>
            <w:tcBorders>
              <w:bottom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162,390</w:t>
            </w:r>
          </w:p>
        </w:tc>
        <w:tc>
          <w:tcPr>
            <w:tcW w:w="0" w:type="dxa"/>
            <w:vAlign w:val="bottom"/>
          </w:tcPr>
          <w:p>
            <w:pPr>
              <w:spacing w:after="0"/>
              <w:rPr>
                <w:sz w:val="1"/>
                <w:szCs w:val="1"/>
                <w:color w:val="auto"/>
              </w:rPr>
            </w:pPr>
          </w:p>
        </w:tc>
      </w:tr>
      <w:tr>
        <w:trPr>
          <w:trHeight w:val="20"/>
        </w:trPr>
        <w:tc>
          <w:tcPr>
            <w:tcW w:w="448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44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Average assets under management</w:t>
            </w: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148,949</w:t>
            </w: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14,270</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3,524</w:t>
            </w:r>
          </w:p>
        </w:tc>
        <w:tc>
          <w:tcPr>
            <w:tcW w:w="12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166,743</w:t>
            </w:r>
          </w:p>
        </w:tc>
        <w:tc>
          <w:tcPr>
            <w:tcW w:w="0" w:type="dxa"/>
            <w:vAlign w:val="bottom"/>
          </w:tcPr>
          <w:p>
            <w:pPr>
              <w:spacing w:after="0"/>
              <w:rPr>
                <w:sz w:val="1"/>
                <w:szCs w:val="1"/>
                <w:color w:val="auto"/>
              </w:rPr>
            </w:pPr>
          </w:p>
        </w:tc>
      </w:tr>
      <w:tr>
        <w:trPr>
          <w:trHeight w:val="20"/>
        </w:trPr>
        <w:tc>
          <w:tcPr>
            <w:tcW w:w="44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 w:lineRule="exact"/>
        <w:rPr>
          <w:sz w:val="20"/>
          <w:szCs w:val="20"/>
          <w:color w:val="auto"/>
        </w:rPr>
      </w:pPr>
    </w:p>
    <w:p>
      <w:pPr>
        <w:ind w:left="20" w:right="40" w:firstLine="6"/>
        <w:spacing w:after="0" w:line="229" w:lineRule="auto"/>
        <w:tabs>
          <w:tab w:leader="none" w:pos="152" w:val="left"/>
        </w:tabs>
        <w:numPr>
          <w:ilvl w:val="0"/>
          <w:numId w:val="24"/>
        </w:numPr>
        <w:rPr>
          <w:rFonts w:ascii="Times New Roman" w:cs="Times New Roman" w:eastAsia="Times New Roman" w:hAnsi="Times New Roman"/>
          <w:sz w:val="9"/>
          <w:szCs w:val="9"/>
          <w:color w:val="auto"/>
        </w:rPr>
      </w:pPr>
      <w:r>
        <w:rPr>
          <w:rFonts w:ascii="Times New Roman" w:cs="Times New Roman" w:eastAsia="Times New Roman" w:hAnsi="Times New Roman"/>
          <w:sz w:val="14"/>
          <w:szCs w:val="14"/>
          <w:color w:val="auto"/>
        </w:rPr>
        <w:t>Equity includes the following investment strategies: U.S. Mid-Cap Growth, U.S. Small-Cap Growth, U.S. Mid-Cap Value, Non-U.S. Growth, International Value, Global Opportunities, Global Equity, Value Equity, Global Value, Sustainable Emerging Markets, Global Discovery, Developing World, Non-U.S. Small-Mid Growth, International Explorer, Select Equity, Value Income and Franchise. Credit includes the following investment strategies: High Income, Floating Rate, Custom Credit Solutions, Emerging Markets Debt Opportunities and Emerging Markets Local Opportunities. Alternative includes the following investment strategies: Antero Peak, Antero Peak Hedge, Credit Opportunities, Global Unconstrained, Global Special Situations and Grandview Property Partners.</w:t>
      </w:r>
    </w:p>
    <w:p>
      <w:pPr>
        <w:spacing w:after="0" w:line="1" w:lineRule="exact"/>
        <w:rPr>
          <w:rFonts w:ascii="Times New Roman" w:cs="Times New Roman" w:eastAsia="Times New Roman" w:hAnsi="Times New Roman"/>
          <w:sz w:val="9"/>
          <w:szCs w:val="9"/>
          <w:color w:val="auto"/>
        </w:rPr>
      </w:pPr>
    </w:p>
    <w:p>
      <w:pPr>
        <w:ind w:left="180" w:hanging="154"/>
        <w:spacing w:after="0"/>
        <w:tabs>
          <w:tab w:leader="none" w:pos="180" w:val="left"/>
        </w:tabs>
        <w:numPr>
          <w:ilvl w:val="0"/>
          <w:numId w:val="24"/>
        </w:numPr>
        <w:rPr>
          <w:rFonts w:ascii="Times New Roman" w:cs="Times New Roman" w:eastAsia="Times New Roman" w:hAnsi="Times New Roman"/>
          <w:sz w:val="9"/>
          <w:szCs w:val="9"/>
          <w:color w:val="auto"/>
        </w:rPr>
      </w:pPr>
      <w:r>
        <w:rPr>
          <w:rFonts w:ascii="Times New Roman" w:cs="Times New Roman" w:eastAsia="Times New Roman" w:hAnsi="Times New Roman"/>
          <w:sz w:val="14"/>
          <w:szCs w:val="14"/>
          <w:color w:val="auto"/>
        </w:rPr>
        <w:t>Represents assets acquired upon the closing of the Grandview Property Partners acquisition.</w:t>
      </w:r>
    </w:p>
    <w:p>
      <w:pPr>
        <w:spacing w:after="0" w:line="68" w:lineRule="exact"/>
        <w:rPr>
          <w:rFonts w:ascii="Times New Roman" w:cs="Times New Roman" w:eastAsia="Times New Roman" w:hAnsi="Times New Roman"/>
          <w:sz w:val="9"/>
          <w:szCs w:val="9"/>
          <w:color w:val="auto"/>
        </w:rPr>
      </w:pPr>
    </w:p>
    <w:p>
      <w:pPr>
        <w:ind w:left="180" w:hanging="154"/>
        <w:spacing w:after="0"/>
        <w:tabs>
          <w:tab w:leader="none" w:pos="180" w:val="left"/>
        </w:tabs>
        <w:numPr>
          <w:ilvl w:val="0"/>
          <w:numId w:val="24"/>
        </w:numPr>
        <w:rPr>
          <w:rFonts w:ascii="Times New Roman" w:cs="Times New Roman" w:eastAsia="Times New Roman" w:hAnsi="Times New Roman"/>
          <w:sz w:val="9"/>
          <w:szCs w:val="9"/>
          <w:color w:val="auto"/>
        </w:rPr>
      </w:pPr>
      <w:r>
        <w:rPr>
          <w:rFonts w:ascii="Times New Roman" w:cs="Times New Roman" w:eastAsia="Times New Roman" w:hAnsi="Times New Roman"/>
          <w:sz w:val="14"/>
          <w:szCs w:val="14"/>
          <w:color w:val="auto"/>
        </w:rPr>
        <w:t>Artisan Funds’ distributions not reinvested represents the amount of income and capital gain distributions that were not reinvested in the Artisan Funds.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660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Results of Operations</w:t>
            </w: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97"/>
        </w:trPr>
        <w:tc>
          <w:tcPr>
            <w:tcW w:w="660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Three months ended March 31, 2026, compared to three months ended March 31, 2025</w:t>
            </w:r>
          </w:p>
        </w:tc>
        <w:tc>
          <w:tcPr>
            <w:tcW w:w="1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5"/>
        </w:trPr>
        <w:tc>
          <w:tcPr>
            <w:tcW w:w="66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400" w:type="dxa"/>
            <w:vAlign w:val="bottom"/>
            <w:gridSpan w:val="5"/>
          </w:tcPr>
          <w:p>
            <w:pPr>
              <w:ind w:left="60"/>
              <w:spacing w:after="0"/>
              <w:rPr>
                <w:sz w:val="20"/>
                <w:szCs w:val="20"/>
                <w:color w:val="auto"/>
              </w:rPr>
            </w:pPr>
            <w:r>
              <w:rPr>
                <w:rFonts w:ascii="Times New Roman" w:cs="Times New Roman" w:eastAsia="Times New Roman" w:hAnsi="Times New Roman"/>
                <w:sz w:val="16"/>
                <w:szCs w:val="16"/>
                <w:b w:val="1"/>
                <w:bCs w:val="1"/>
                <w:color w:val="auto"/>
              </w:rPr>
              <w:t>For the Three Months Ended</w:t>
            </w:r>
          </w:p>
        </w:tc>
        <w:tc>
          <w:tcPr>
            <w:tcW w:w="140" w:type="dxa"/>
            <w:vAlign w:val="bottom"/>
          </w:tcPr>
          <w:p>
            <w:pPr>
              <w:spacing w:after="0"/>
              <w:rPr>
                <w:sz w:val="16"/>
                <w:szCs w:val="16"/>
                <w:color w:val="auto"/>
              </w:rPr>
            </w:pPr>
          </w:p>
        </w:tc>
        <w:tc>
          <w:tcPr>
            <w:tcW w:w="1900" w:type="dxa"/>
            <w:vAlign w:val="bottom"/>
            <w:gridSpan w:val="3"/>
            <w:vMerge w:val="restart"/>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For the Period-to-Period</w:t>
            </w:r>
          </w:p>
        </w:tc>
        <w:tc>
          <w:tcPr>
            <w:tcW w:w="0" w:type="dxa"/>
            <w:vAlign w:val="bottom"/>
          </w:tcPr>
          <w:p>
            <w:pPr>
              <w:spacing w:after="0"/>
              <w:rPr>
                <w:sz w:val="1"/>
                <w:szCs w:val="1"/>
                <w:color w:val="auto"/>
              </w:rPr>
            </w:pPr>
          </w:p>
        </w:tc>
      </w:tr>
      <w:tr>
        <w:trPr>
          <w:trHeight w:val="214"/>
        </w:trPr>
        <w:tc>
          <w:tcPr>
            <w:tcW w:w="66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March 31,</w:t>
            </w:r>
          </w:p>
        </w:tc>
        <w:tc>
          <w:tcPr>
            <w:tcW w:w="84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900" w:type="dxa"/>
            <w:vAlign w:val="bottom"/>
            <w:tcBorders>
              <w:bottom w:val="single" w:sz="8" w:color="auto"/>
            </w:tcBorders>
            <w:gridSpan w:val="3"/>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66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359"/>
              <w:spacing w:after="0"/>
              <w:rPr>
                <w:sz w:val="20"/>
                <w:szCs w:val="20"/>
                <w:color w:val="auto"/>
              </w:rPr>
            </w:pPr>
            <w:r>
              <w:rPr>
                <w:rFonts w:ascii="Times New Roman" w:cs="Times New Roman" w:eastAsia="Times New Roman" w:hAnsi="Times New Roman"/>
                <w:sz w:val="16"/>
                <w:szCs w:val="16"/>
                <w:b w:val="1"/>
                <w:bCs w:val="1"/>
                <w:color w:val="auto"/>
              </w:rPr>
              <w:t>2026</w:t>
            </w:r>
          </w:p>
        </w:tc>
        <w:tc>
          <w:tcPr>
            <w:tcW w:w="10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359"/>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339"/>
              <w:spacing w:after="0"/>
              <w:rPr>
                <w:sz w:val="20"/>
                <w:szCs w:val="20"/>
                <w:color w:val="auto"/>
              </w:rPr>
            </w:pPr>
            <w:r>
              <w:rPr>
                <w:rFonts w:ascii="Times New Roman" w:cs="Times New Roman" w:eastAsia="Times New Roman" w:hAnsi="Times New Roman"/>
                <w:sz w:val="16"/>
                <w:szCs w:val="16"/>
                <w:b w:val="1"/>
                <w:bCs w:val="1"/>
                <w:color w:val="auto"/>
              </w:rPr>
              <w:t>$</w:t>
            </w:r>
          </w:p>
        </w:tc>
        <w:tc>
          <w:tcPr>
            <w:tcW w:w="100" w:type="dxa"/>
            <w:vAlign w:val="bottom"/>
          </w:tcPr>
          <w:p>
            <w:pPr>
              <w:spacing w:after="0"/>
              <w:rPr>
                <w:sz w:val="18"/>
                <w:szCs w:val="18"/>
                <w:color w:val="auto"/>
              </w:rPr>
            </w:pPr>
          </w:p>
        </w:tc>
        <w:tc>
          <w:tcPr>
            <w:tcW w:w="1040" w:type="dxa"/>
            <w:vAlign w:val="bottom"/>
            <w:tcBorders>
              <w:bottom w:val="single" w:sz="8" w:color="auto"/>
            </w:tcBorders>
          </w:tcPr>
          <w:p>
            <w:pPr>
              <w:jc w:val="right"/>
              <w:ind w:right="359"/>
              <w:spacing w:after="0"/>
              <w:rPr>
                <w:sz w:val="20"/>
                <w:szCs w:val="20"/>
                <w:color w:val="auto"/>
              </w:rPr>
            </w:pPr>
            <w:r>
              <w:rPr>
                <w:rFonts w:ascii="Times New Roman" w:cs="Times New Roman" w:eastAsia="Times New Roman" w:hAnsi="Times New Roman"/>
                <w:sz w:val="16"/>
                <w:szCs w:val="16"/>
                <w:b w:val="1"/>
                <w:bCs w:val="1"/>
                <w:color w:val="auto"/>
              </w:rPr>
              <w:t>%</w:t>
            </w:r>
          </w:p>
        </w:tc>
        <w:tc>
          <w:tcPr>
            <w:tcW w:w="0" w:type="dxa"/>
            <w:vAlign w:val="bottom"/>
          </w:tcPr>
          <w:p>
            <w:pPr>
              <w:spacing w:after="0"/>
              <w:rPr>
                <w:sz w:val="1"/>
                <w:szCs w:val="1"/>
                <w:color w:val="auto"/>
              </w:rPr>
            </w:pPr>
          </w:p>
        </w:tc>
      </w:tr>
      <w:tr>
        <w:trPr>
          <w:trHeight w:val="251"/>
        </w:trPr>
        <w:tc>
          <w:tcPr>
            <w:tcW w:w="660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Statements of operations data:</w:t>
            </w:r>
          </w:p>
        </w:tc>
        <w:tc>
          <w:tcPr>
            <w:tcW w:w="160" w:type="dxa"/>
            <w:vAlign w:val="bottom"/>
          </w:tcPr>
          <w:p>
            <w:pPr>
              <w:spacing w:after="0"/>
              <w:rPr>
                <w:sz w:val="21"/>
                <w:szCs w:val="21"/>
                <w:color w:val="auto"/>
              </w:rPr>
            </w:pPr>
          </w:p>
        </w:tc>
        <w:tc>
          <w:tcPr>
            <w:tcW w:w="4440" w:type="dxa"/>
            <w:vAlign w:val="bottom"/>
            <w:gridSpan w:val="9"/>
          </w:tcPr>
          <w:p>
            <w:pPr>
              <w:jc w:val="right"/>
              <w:ind w:right="399"/>
              <w:spacing w:after="0"/>
              <w:rPr>
                <w:sz w:val="20"/>
                <w:szCs w:val="20"/>
                <w:color w:val="auto"/>
              </w:rPr>
            </w:pPr>
            <w:r>
              <w:rPr>
                <w:rFonts w:ascii="Times New Roman" w:cs="Times New Roman" w:eastAsia="Times New Roman" w:hAnsi="Times New Roman"/>
                <w:sz w:val="16"/>
                <w:szCs w:val="16"/>
                <w:color w:val="auto"/>
              </w:rPr>
              <w:t>(unaudited; in millions, except share and per-share data)</w:t>
            </w:r>
          </w:p>
        </w:tc>
        <w:tc>
          <w:tcPr>
            <w:tcW w:w="0" w:type="dxa"/>
            <w:vAlign w:val="bottom"/>
          </w:tcPr>
          <w:p>
            <w:pPr>
              <w:spacing w:after="0"/>
              <w:rPr>
                <w:sz w:val="1"/>
                <w:szCs w:val="1"/>
                <w:color w:val="auto"/>
              </w:rPr>
            </w:pPr>
          </w:p>
        </w:tc>
      </w:tr>
      <w:tr>
        <w:trPr>
          <w:trHeight w:val="219"/>
        </w:trPr>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Revenues</w:t>
            </w:r>
          </w:p>
        </w:tc>
        <w:tc>
          <w:tcPr>
            <w:tcW w:w="16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66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Management fees</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302.8</w:t>
            </w:r>
          </w:p>
        </w:tc>
        <w:tc>
          <w:tcPr>
            <w:tcW w:w="100" w:type="dxa"/>
            <w:vAlign w:val="bottom"/>
          </w:tcPr>
          <w:p>
            <w:pPr>
              <w:spacing w:after="0"/>
              <w:rPr>
                <w:sz w:val="18"/>
                <w:szCs w:val="18"/>
                <w:color w:val="auto"/>
              </w:rPr>
            </w:pPr>
          </w:p>
        </w:tc>
        <w:tc>
          <w:tcPr>
            <w:tcW w:w="3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277.1</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25.7</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9 %</w:t>
            </w:r>
          </w:p>
        </w:tc>
        <w:tc>
          <w:tcPr>
            <w:tcW w:w="0" w:type="dxa"/>
            <w:vAlign w:val="bottom"/>
          </w:tcPr>
          <w:p>
            <w:pPr>
              <w:spacing w:after="0"/>
              <w:rPr>
                <w:sz w:val="1"/>
                <w:szCs w:val="1"/>
                <w:color w:val="auto"/>
              </w:rPr>
            </w:pPr>
          </w:p>
        </w:tc>
      </w:tr>
      <w:tr>
        <w:trPr>
          <w:trHeight w:val="219"/>
        </w:trPr>
        <w:tc>
          <w:tcPr>
            <w:tcW w:w="66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Performance fees</w:t>
            </w:r>
          </w:p>
        </w:tc>
        <w:tc>
          <w:tcPr>
            <w:tcW w:w="1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0.2</w:t>
            </w: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 %</w:t>
            </w:r>
          </w:p>
        </w:tc>
        <w:tc>
          <w:tcPr>
            <w:tcW w:w="0" w:type="dxa"/>
            <w:vAlign w:val="bottom"/>
          </w:tcPr>
          <w:p>
            <w:pPr>
              <w:spacing w:after="0"/>
              <w:rPr>
                <w:sz w:val="1"/>
                <w:szCs w:val="1"/>
                <w:color w:val="auto"/>
              </w:rPr>
            </w:pPr>
          </w:p>
        </w:tc>
      </w:tr>
      <w:tr>
        <w:trPr>
          <w:trHeight w:val="207"/>
        </w:trPr>
        <w:tc>
          <w:tcPr>
            <w:tcW w:w="660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6"/>
                <w:szCs w:val="16"/>
                <w:color w:val="auto"/>
              </w:rPr>
              <w:t>Total revenues</w:t>
            </w:r>
          </w:p>
        </w:tc>
        <w:tc>
          <w:tcPr>
            <w:tcW w:w="160" w:type="dxa"/>
            <w:vAlign w:val="bottom"/>
            <w:tcBorders>
              <w:top w:val="single" w:sz="8" w:color="auto"/>
              <w:bottom w:val="single" w:sz="8" w:color="auto"/>
            </w:tcBorders>
          </w:tcPr>
          <w:p>
            <w:pPr>
              <w:spacing w:after="0"/>
              <w:rPr>
                <w:sz w:val="17"/>
                <w:szCs w:val="17"/>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303.0</w:t>
            </w:r>
          </w:p>
        </w:tc>
        <w:tc>
          <w:tcPr>
            <w:tcW w:w="100" w:type="dxa"/>
            <w:vAlign w:val="bottom"/>
            <w:tcBorders>
              <w:bottom w:val="single" w:sz="8" w:color="CCEEFF"/>
            </w:tcBorders>
          </w:tcPr>
          <w:p>
            <w:pPr>
              <w:spacing w:after="0"/>
              <w:rPr>
                <w:sz w:val="17"/>
                <w:szCs w:val="17"/>
                <w:color w:val="auto"/>
              </w:rPr>
            </w:pPr>
          </w:p>
        </w:tc>
        <w:tc>
          <w:tcPr>
            <w:tcW w:w="340" w:type="dxa"/>
            <w:vAlign w:val="bottom"/>
            <w:tcBorders>
              <w:top w:val="single" w:sz="8" w:color="auto"/>
              <w:bottom w:val="single" w:sz="8" w:color="auto"/>
            </w:tcBorders>
          </w:tcPr>
          <w:p>
            <w:pPr>
              <w:spacing w:after="0"/>
              <w:rPr>
                <w:sz w:val="17"/>
                <w:szCs w:val="17"/>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277.1</w:t>
            </w:r>
          </w:p>
        </w:tc>
        <w:tc>
          <w:tcPr>
            <w:tcW w:w="100" w:type="dxa"/>
            <w:vAlign w:val="bottom"/>
            <w:tcBorders>
              <w:bottom w:val="single" w:sz="8" w:color="CCEEFF"/>
            </w:tcBorders>
          </w:tcPr>
          <w:p>
            <w:pPr>
              <w:spacing w:after="0"/>
              <w:rPr>
                <w:sz w:val="17"/>
                <w:szCs w:val="17"/>
                <w:color w:val="auto"/>
              </w:rPr>
            </w:pPr>
          </w:p>
        </w:tc>
        <w:tc>
          <w:tcPr>
            <w:tcW w:w="140" w:type="dxa"/>
            <w:vAlign w:val="bottom"/>
            <w:tcBorders>
              <w:top w:val="single" w:sz="8" w:color="auto"/>
              <w:bottom w:val="single" w:sz="8" w:color="auto"/>
            </w:tcBorders>
          </w:tcPr>
          <w:p>
            <w:pPr>
              <w:spacing w:after="0"/>
              <w:rPr>
                <w:sz w:val="17"/>
                <w:szCs w:val="17"/>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25.9</w:t>
            </w:r>
          </w:p>
        </w:tc>
        <w:tc>
          <w:tcPr>
            <w:tcW w:w="114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6"/>
                <w:szCs w:val="16"/>
                <w:color w:val="auto"/>
              </w:rPr>
              <w:t>9 %</w:t>
            </w:r>
          </w:p>
        </w:tc>
        <w:tc>
          <w:tcPr>
            <w:tcW w:w="0" w:type="dxa"/>
            <w:vAlign w:val="bottom"/>
          </w:tcPr>
          <w:p>
            <w:pPr>
              <w:spacing w:after="0"/>
              <w:rPr>
                <w:sz w:val="1"/>
                <w:szCs w:val="1"/>
                <w:color w:val="auto"/>
              </w:rPr>
            </w:pPr>
          </w:p>
        </w:tc>
      </w:tr>
      <w:tr>
        <w:trPr>
          <w:trHeight w:val="199"/>
        </w:trPr>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Operating Expenses</w:t>
            </w:r>
          </w:p>
        </w:tc>
        <w:tc>
          <w:tcPr>
            <w:tcW w:w="16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66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Total compensation and benefits</w:t>
            </w:r>
          </w:p>
        </w:tc>
        <w:tc>
          <w:tcPr>
            <w:tcW w:w="1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168.7</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155.2</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13.5</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9 %</w:t>
            </w:r>
          </w:p>
        </w:tc>
        <w:tc>
          <w:tcPr>
            <w:tcW w:w="0" w:type="dxa"/>
            <w:vAlign w:val="bottom"/>
          </w:tcPr>
          <w:p>
            <w:pPr>
              <w:spacing w:after="0"/>
              <w:rPr>
                <w:sz w:val="1"/>
                <w:szCs w:val="1"/>
                <w:color w:val="auto"/>
              </w:rPr>
            </w:pPr>
          </w:p>
        </w:tc>
      </w:tr>
      <w:tr>
        <w:trPr>
          <w:trHeight w:val="219"/>
        </w:trPr>
        <w:tc>
          <w:tcPr>
            <w:tcW w:w="66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Other operating expenses</w:t>
            </w:r>
          </w:p>
        </w:tc>
        <w:tc>
          <w:tcPr>
            <w:tcW w:w="16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40.1</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35.4</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w:t>
            </w:r>
          </w:p>
        </w:tc>
        <w:tc>
          <w:tcPr>
            <w:tcW w:w="1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13 %</w:t>
            </w:r>
          </w:p>
        </w:tc>
        <w:tc>
          <w:tcPr>
            <w:tcW w:w="0" w:type="dxa"/>
            <w:vAlign w:val="bottom"/>
          </w:tcPr>
          <w:p>
            <w:pPr>
              <w:spacing w:after="0"/>
              <w:rPr>
                <w:sz w:val="1"/>
                <w:szCs w:val="1"/>
                <w:color w:val="auto"/>
              </w:rPr>
            </w:pPr>
          </w:p>
        </w:tc>
      </w:tr>
      <w:tr>
        <w:trPr>
          <w:trHeight w:val="207"/>
        </w:trPr>
        <w:tc>
          <w:tcPr>
            <w:tcW w:w="660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6"/>
                <w:szCs w:val="16"/>
                <w:color w:val="auto"/>
              </w:rPr>
              <w:t>Total operating expenses</w:t>
            </w:r>
          </w:p>
        </w:tc>
        <w:tc>
          <w:tcPr>
            <w:tcW w:w="16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208.8</w:t>
            </w: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190.6</w:t>
            </w: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18.2</w:t>
            </w:r>
          </w:p>
        </w:tc>
        <w:tc>
          <w:tcPr>
            <w:tcW w:w="114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6"/>
                <w:szCs w:val="16"/>
                <w:color w:val="auto"/>
              </w:rPr>
              <w:t>10 %</w:t>
            </w:r>
          </w:p>
        </w:tc>
        <w:tc>
          <w:tcPr>
            <w:tcW w:w="0" w:type="dxa"/>
            <w:vAlign w:val="bottom"/>
          </w:tcPr>
          <w:p>
            <w:pPr>
              <w:spacing w:after="0"/>
              <w:rPr>
                <w:sz w:val="1"/>
                <w:szCs w:val="1"/>
                <w:color w:val="auto"/>
              </w:rPr>
            </w:pPr>
          </w:p>
        </w:tc>
      </w:tr>
      <w:tr>
        <w:trPr>
          <w:trHeight w:val="212"/>
        </w:trPr>
        <w:tc>
          <w:tcPr>
            <w:tcW w:w="66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Total operating income</w:t>
            </w: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94.2</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86.5</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w:t>
            </w:r>
          </w:p>
        </w:tc>
        <w:tc>
          <w:tcPr>
            <w:tcW w:w="1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9 %</w:t>
            </w:r>
          </w:p>
        </w:tc>
        <w:tc>
          <w:tcPr>
            <w:tcW w:w="0" w:type="dxa"/>
            <w:vAlign w:val="bottom"/>
          </w:tcPr>
          <w:p>
            <w:pPr>
              <w:spacing w:after="0"/>
              <w:rPr>
                <w:sz w:val="1"/>
                <w:szCs w:val="1"/>
                <w:color w:val="auto"/>
              </w:rPr>
            </w:pPr>
          </w:p>
        </w:tc>
      </w:tr>
      <w:tr>
        <w:trPr>
          <w:trHeight w:val="214"/>
        </w:trPr>
        <w:tc>
          <w:tcPr>
            <w:tcW w:w="660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Non-operating income (expense)</w:t>
            </w: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66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Interest expense</w:t>
            </w: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 %</w:t>
            </w:r>
          </w:p>
        </w:tc>
        <w:tc>
          <w:tcPr>
            <w:tcW w:w="0" w:type="dxa"/>
            <w:vAlign w:val="bottom"/>
          </w:tcPr>
          <w:p>
            <w:pPr>
              <w:spacing w:after="0"/>
              <w:rPr>
                <w:sz w:val="1"/>
                <w:szCs w:val="1"/>
                <w:color w:val="auto"/>
              </w:rPr>
            </w:pPr>
          </w:p>
        </w:tc>
      </w:tr>
      <w:tr>
        <w:trPr>
          <w:trHeight w:val="213"/>
        </w:trPr>
        <w:tc>
          <w:tcPr>
            <w:tcW w:w="660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Other non-operating income (expense)</w:t>
            </w:r>
          </w:p>
        </w:tc>
        <w:tc>
          <w:tcPr>
            <w:tcW w:w="1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(5.7)</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12.9</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(18.6)</w:t>
            </w:r>
          </w:p>
        </w:tc>
        <w:tc>
          <w:tcPr>
            <w:tcW w:w="114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6"/>
                <w:szCs w:val="16"/>
                <w:color w:val="auto"/>
              </w:rPr>
              <w:t>(144)%</w:t>
            </w:r>
          </w:p>
        </w:tc>
        <w:tc>
          <w:tcPr>
            <w:tcW w:w="0" w:type="dxa"/>
            <w:vAlign w:val="bottom"/>
          </w:tcPr>
          <w:p>
            <w:pPr>
              <w:spacing w:after="0"/>
              <w:rPr>
                <w:sz w:val="1"/>
                <w:szCs w:val="1"/>
                <w:color w:val="auto"/>
              </w:rPr>
            </w:pPr>
          </w:p>
        </w:tc>
      </w:tr>
      <w:tr>
        <w:trPr>
          <w:trHeight w:val="212"/>
        </w:trPr>
        <w:tc>
          <w:tcPr>
            <w:tcW w:w="66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Total non-operating income (expense)</w:t>
            </w:r>
          </w:p>
        </w:tc>
        <w:tc>
          <w:tcPr>
            <w:tcW w:w="16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10.8</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(18.6)</w:t>
            </w:r>
          </w:p>
        </w:tc>
        <w:tc>
          <w:tcPr>
            <w:tcW w:w="1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(172)%</w:t>
            </w:r>
          </w:p>
        </w:tc>
        <w:tc>
          <w:tcPr>
            <w:tcW w:w="0" w:type="dxa"/>
            <w:vAlign w:val="bottom"/>
          </w:tcPr>
          <w:p>
            <w:pPr>
              <w:spacing w:after="0"/>
              <w:rPr>
                <w:sz w:val="1"/>
                <w:szCs w:val="1"/>
                <w:color w:val="auto"/>
              </w:rPr>
            </w:pPr>
          </w:p>
        </w:tc>
      </w:tr>
      <w:tr>
        <w:trPr>
          <w:trHeight w:val="207"/>
        </w:trPr>
        <w:tc>
          <w:tcPr>
            <w:tcW w:w="660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Income before income taxes</w:t>
            </w:r>
          </w:p>
        </w:tc>
        <w:tc>
          <w:tcPr>
            <w:tcW w:w="16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86.4</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97.3</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(10.9)</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(11)%</w:t>
            </w:r>
          </w:p>
        </w:tc>
        <w:tc>
          <w:tcPr>
            <w:tcW w:w="0" w:type="dxa"/>
            <w:vAlign w:val="bottom"/>
          </w:tcPr>
          <w:p>
            <w:pPr>
              <w:spacing w:after="0"/>
              <w:rPr>
                <w:sz w:val="1"/>
                <w:szCs w:val="1"/>
                <w:color w:val="auto"/>
              </w:rPr>
            </w:pPr>
          </w:p>
        </w:tc>
      </w:tr>
      <w:tr>
        <w:trPr>
          <w:trHeight w:val="219"/>
        </w:trPr>
        <w:tc>
          <w:tcPr>
            <w:tcW w:w="66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Provision for income taxes</w:t>
            </w:r>
          </w:p>
        </w:tc>
        <w:tc>
          <w:tcPr>
            <w:tcW w:w="16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18.8</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20.0</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w:t>
            </w:r>
          </w:p>
        </w:tc>
        <w:tc>
          <w:tcPr>
            <w:tcW w:w="1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0" w:type="dxa"/>
            <w:vAlign w:val="bottom"/>
          </w:tcPr>
          <w:p>
            <w:pPr>
              <w:spacing w:after="0"/>
              <w:rPr>
                <w:sz w:val="1"/>
                <w:szCs w:val="1"/>
                <w:color w:val="auto"/>
              </w:rPr>
            </w:pPr>
          </w:p>
        </w:tc>
      </w:tr>
      <w:tr>
        <w:trPr>
          <w:trHeight w:val="207"/>
        </w:trPr>
        <w:tc>
          <w:tcPr>
            <w:tcW w:w="660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Net income before noncontrolling interests</w:t>
            </w:r>
          </w:p>
        </w:tc>
        <w:tc>
          <w:tcPr>
            <w:tcW w:w="16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67.6</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77.3</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(9.7)</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(13)%</w:t>
            </w:r>
          </w:p>
        </w:tc>
        <w:tc>
          <w:tcPr>
            <w:tcW w:w="0" w:type="dxa"/>
            <w:vAlign w:val="bottom"/>
          </w:tcPr>
          <w:p>
            <w:pPr>
              <w:spacing w:after="0"/>
              <w:rPr>
                <w:sz w:val="1"/>
                <w:szCs w:val="1"/>
                <w:color w:val="auto"/>
              </w:rPr>
            </w:pPr>
          </w:p>
        </w:tc>
      </w:tr>
      <w:tr>
        <w:trPr>
          <w:trHeight w:val="219"/>
        </w:trPr>
        <w:tc>
          <w:tcPr>
            <w:tcW w:w="66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Less: Noncontrolling interests - Artisan Partners Holdings</w:t>
            </w:r>
          </w:p>
        </w:tc>
        <w:tc>
          <w:tcPr>
            <w:tcW w:w="1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11.9</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(0.8)</w:t>
            </w:r>
          </w:p>
        </w:tc>
        <w:tc>
          <w:tcPr>
            <w:tcW w:w="1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w:t>
            </w:r>
          </w:p>
        </w:tc>
        <w:tc>
          <w:tcPr>
            <w:tcW w:w="0" w:type="dxa"/>
            <w:vAlign w:val="bottom"/>
          </w:tcPr>
          <w:p>
            <w:pPr>
              <w:spacing w:after="0"/>
              <w:rPr>
                <w:sz w:val="1"/>
                <w:szCs w:val="1"/>
                <w:color w:val="auto"/>
              </w:rPr>
            </w:pPr>
          </w:p>
        </w:tc>
      </w:tr>
      <w:tr>
        <w:trPr>
          <w:trHeight w:val="213"/>
        </w:trPr>
        <w:tc>
          <w:tcPr>
            <w:tcW w:w="660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Less: Noncontrolling interests - consolidated investment products</w:t>
            </w:r>
          </w:p>
        </w:tc>
        <w:tc>
          <w:tcPr>
            <w:tcW w:w="1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4.3</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(5.8)</w:t>
            </w:r>
          </w:p>
        </w:tc>
        <w:tc>
          <w:tcPr>
            <w:tcW w:w="114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6"/>
                <w:szCs w:val="16"/>
                <w:color w:val="auto"/>
              </w:rPr>
              <w:t>(135)%</w:t>
            </w:r>
          </w:p>
        </w:tc>
        <w:tc>
          <w:tcPr>
            <w:tcW w:w="0" w:type="dxa"/>
            <w:vAlign w:val="bottom"/>
          </w:tcPr>
          <w:p>
            <w:pPr>
              <w:spacing w:after="0"/>
              <w:rPr>
                <w:sz w:val="1"/>
                <w:szCs w:val="1"/>
                <w:color w:val="auto"/>
              </w:rPr>
            </w:pPr>
          </w:p>
        </w:tc>
      </w:tr>
      <w:tr>
        <w:trPr>
          <w:trHeight w:val="237"/>
        </w:trPr>
        <w:tc>
          <w:tcPr>
            <w:tcW w:w="6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Net income attributable to Artisan Partners Asset Management Inc.</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58.0</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61.1</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w:t>
            </w:r>
          </w:p>
        </w:tc>
        <w:tc>
          <w:tcPr>
            <w:tcW w:w="11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0" w:type="dxa"/>
            <w:vAlign w:val="bottom"/>
          </w:tcPr>
          <w:p>
            <w:pPr>
              <w:spacing w:after="0"/>
              <w:rPr>
                <w:sz w:val="1"/>
                <w:szCs w:val="1"/>
                <w:color w:val="auto"/>
              </w:rPr>
            </w:pPr>
          </w:p>
        </w:tc>
      </w:tr>
      <w:tr>
        <w:trPr>
          <w:trHeight w:val="20"/>
        </w:trPr>
        <w:tc>
          <w:tcPr>
            <w:tcW w:w="660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Share Data</w:t>
            </w: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1"/>
        </w:trPr>
        <w:tc>
          <w:tcPr>
            <w:tcW w:w="660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8"/>
        </w:trPr>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Basic earnings per share</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0.76</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0.82</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660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Diluted earnings per share</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0.76</w:t>
            </w:r>
          </w:p>
        </w:tc>
        <w:tc>
          <w:tcPr>
            <w:tcW w:w="100" w:type="dxa"/>
            <w:vAlign w:val="bottom"/>
          </w:tcPr>
          <w:p>
            <w:pPr>
              <w:spacing w:after="0"/>
              <w:rPr>
                <w:sz w:val="18"/>
                <w:szCs w:val="18"/>
                <w:color w:val="auto"/>
              </w:rPr>
            </w:pPr>
          </w:p>
        </w:tc>
        <w:tc>
          <w:tcPr>
            <w:tcW w:w="3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0.82</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Basic weighted average number of common shares outstanding</w:t>
            </w: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66,125,995</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65,373,285</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660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Diluted weighted average number of common shares outstanding</w:t>
            </w:r>
          </w:p>
        </w:tc>
        <w:tc>
          <w:tcPr>
            <w:tcW w:w="1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66,125,995</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65,373,285</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Investment Advisory Revenues</w:t>
      </w:r>
    </w:p>
    <w:p>
      <w:pPr>
        <w:spacing w:after="0" w:line="131" w:lineRule="exact"/>
        <w:rPr>
          <w:sz w:val="20"/>
          <w:szCs w:val="20"/>
          <w:color w:val="auto"/>
        </w:rPr>
      </w:pPr>
    </w:p>
    <w:p>
      <w:pPr>
        <w:ind w:right="80"/>
        <w:spacing w:after="0" w:line="259" w:lineRule="auto"/>
        <w:rPr>
          <w:sz w:val="20"/>
          <w:szCs w:val="20"/>
          <w:color w:val="auto"/>
        </w:rPr>
      </w:pPr>
      <w:r>
        <w:rPr>
          <w:rFonts w:ascii="Times New Roman" w:cs="Times New Roman" w:eastAsia="Times New Roman" w:hAnsi="Times New Roman"/>
          <w:sz w:val="16"/>
          <w:szCs w:val="16"/>
          <w:color w:val="auto"/>
        </w:rPr>
        <w:t>Essentially all of our revenues consist of fees earned from managing clients’ assets. Investment advisory fees, which are comprised of management fees and performance fees (including incentive allocations), fluctuate based on a number of factors, including the total value of our AUM, the composition of AUM among investment vehicles and our investment strategies, changes in the investment management fee rates on our products, the extent to which we enter into fee arrangements that differ from our standard fee schedules, which can be affected by custom and the competitive landscape in the relevant market and, for the accounts on which we earn performance fees, the investment performance of those accounts.</w:t>
      </w:r>
    </w:p>
    <w:p>
      <w:pPr>
        <w:spacing w:after="0" w:line="87" w:lineRule="exact"/>
        <w:rPr>
          <w:sz w:val="20"/>
          <w:szCs w:val="20"/>
          <w:color w:val="auto"/>
        </w:rPr>
      </w:pPr>
    </w:p>
    <w:p>
      <w:pPr>
        <w:spacing w:after="0" w:line="259" w:lineRule="auto"/>
        <w:rPr>
          <w:sz w:val="20"/>
          <w:szCs w:val="20"/>
          <w:color w:val="auto"/>
        </w:rPr>
      </w:pPr>
      <w:r>
        <w:rPr>
          <w:rFonts w:ascii="Times New Roman" w:cs="Times New Roman" w:eastAsia="Times New Roman" w:hAnsi="Times New Roman"/>
          <w:sz w:val="16"/>
          <w:szCs w:val="16"/>
          <w:color w:val="auto"/>
        </w:rPr>
        <w:t>The different fee structures associated with Artisan Funds, Artisan Global Funds, and separate accounts and other vehicles, and the different fee schedules applicable to each of our investment strategies, make the composition of our AUM an important determinant of the investment management fees we earn. Historically, we have received higher effective rates of investment management fees from Artisan Funds and Artisan Global Funds than from traditional separate accounts reflecting, among other things, the different and broader array of services we provide to Artisan Funds and Artisan Global Funds. Our investment management fees also differ by investment strategy, with higher-capacity strategies having lower standard fee rates than strategies with more limited capacity.</w:t>
      </w:r>
    </w:p>
    <w:p>
      <w:pPr>
        <w:spacing w:after="0" w:line="87" w:lineRule="exact"/>
        <w:rPr>
          <w:sz w:val="20"/>
          <w:szCs w:val="20"/>
          <w:color w:val="auto"/>
        </w:rPr>
      </w:pPr>
    </w:p>
    <w:p>
      <w:pPr>
        <w:ind w:right="140"/>
        <w:spacing w:after="0" w:line="263" w:lineRule="auto"/>
        <w:rPr>
          <w:sz w:val="20"/>
          <w:szCs w:val="20"/>
          <w:color w:val="auto"/>
        </w:rPr>
      </w:pPr>
      <w:r>
        <w:rPr>
          <w:rFonts w:ascii="Times New Roman" w:cs="Times New Roman" w:eastAsia="Times New Roman" w:hAnsi="Times New Roman"/>
          <w:sz w:val="16"/>
          <w:szCs w:val="16"/>
          <w:color w:val="auto"/>
        </w:rPr>
        <w:t>Certain separate account clients pay us fees based on the performance of their accounts relative to agreed-upon benchmarks, which typically results in a lower base fee but allows us to earn higher fees if the performance we achieve for that client is superior to the performance of the agreed-upon benchmark. We may also receive performance fees or incentive allocations from Artisan Private Funds. Approximately 4% of our $173.0 billion of AUM as of March 31, 2026 are subject to performance fee billing arrangements, of which substantially all performance fees are recognized in the fourth quarter.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right="40"/>
        <w:spacing w:after="0" w:line="263" w:lineRule="auto"/>
        <w:rPr>
          <w:sz w:val="20"/>
          <w:szCs w:val="20"/>
          <w:color w:val="auto"/>
        </w:rPr>
      </w:pPr>
      <w:r>
        <w:rPr>
          <w:rFonts w:ascii="Times New Roman" w:cs="Times New Roman" w:eastAsia="Times New Roman" w:hAnsi="Times New Roman"/>
          <w:sz w:val="16"/>
          <w:szCs w:val="16"/>
          <w:color w:val="auto"/>
        </w:rPr>
        <w:t>The increase in revenues of $25.9 million, or 9%, for the three months ended March 31, 2026, compared to the three months ended March 31, 2025, was driven primarily by a $15.7 billion, or 9% increase in our average AUM.</w:t>
      </w:r>
    </w:p>
    <w:p>
      <w:pPr>
        <w:spacing w:after="0" w:line="204" w:lineRule="exact"/>
        <w:rPr>
          <w:sz w:val="20"/>
          <w:szCs w:val="20"/>
          <w:color w:val="auto"/>
        </w:rPr>
      </w:pPr>
    </w:p>
    <w:p>
      <w:pPr>
        <w:ind w:right="120"/>
        <w:spacing w:after="0" w:line="263" w:lineRule="auto"/>
        <w:rPr>
          <w:sz w:val="20"/>
          <w:szCs w:val="20"/>
          <w:color w:val="auto"/>
        </w:rPr>
      </w:pPr>
      <w:r>
        <w:rPr>
          <w:rFonts w:ascii="Times New Roman" w:cs="Times New Roman" w:eastAsia="Times New Roman" w:hAnsi="Times New Roman"/>
          <w:sz w:val="16"/>
          <w:szCs w:val="16"/>
          <w:color w:val="auto"/>
        </w:rPr>
        <w:t>The weighted average fee rate, inclusive of performance fees, was 67.4 basis points for the three months ended March 31, 2026, compared to 67.5 basis points for the three months ended March 31, 2025.</w:t>
      </w:r>
    </w:p>
    <w:p>
      <w:pPr>
        <w:spacing w:after="0" w:line="204" w:lineRule="exact"/>
        <w:rPr>
          <w:sz w:val="20"/>
          <w:szCs w:val="20"/>
          <w:color w:val="auto"/>
        </w:rPr>
      </w:pPr>
    </w:p>
    <w:p>
      <w:pPr>
        <w:ind w:right="260"/>
        <w:spacing w:after="0" w:line="263" w:lineRule="auto"/>
        <w:rPr>
          <w:sz w:val="20"/>
          <w:szCs w:val="20"/>
          <w:color w:val="auto"/>
        </w:rPr>
      </w:pPr>
      <w:r>
        <w:rPr>
          <w:rFonts w:ascii="Times New Roman" w:cs="Times New Roman" w:eastAsia="Times New Roman" w:hAnsi="Times New Roman"/>
          <w:sz w:val="16"/>
          <w:szCs w:val="16"/>
          <w:color w:val="auto"/>
        </w:rPr>
        <w:t>The following table sets forth investment advisory fees and the weighted average fee by investment vehicle. The weighted average fee rate for Artisan Funds and Artisan Global Funds reflects the additional services we provide to these pooled vehicles.</w:t>
      </w:r>
    </w:p>
    <w:tbl>
      <w:tblPr>
        <w:tblLayout w:type="fixed"/>
        <w:tblInd w:w="0" w:type="dxa"/>
        <w:tblCellMar>
          <w:top w:w="0" w:type="dxa"/>
          <w:left w:w="0" w:type="dxa"/>
          <w:bottom w:w="0" w:type="dxa"/>
          <w:right w:w="0" w:type="dxa"/>
        </w:tblCellMar>
      </w:tblPr>
      <w:tr>
        <w:trPr>
          <w:trHeight w:val="232"/>
        </w:trPr>
        <w:tc>
          <w:tcPr>
            <w:tcW w:w="40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3260" w:type="dxa"/>
            <w:vAlign w:val="bottom"/>
            <w:gridSpan w:val="5"/>
          </w:tcPr>
          <w:p>
            <w:pPr>
              <w:ind w:left="280"/>
              <w:spacing w:after="0" w:line="232" w:lineRule="exact"/>
              <w:rPr>
                <w:sz w:val="20"/>
                <w:szCs w:val="20"/>
                <w:color w:val="auto"/>
              </w:rPr>
            </w:pPr>
            <w:r>
              <w:rPr>
                <w:rFonts w:ascii="Times New Roman" w:cs="Times New Roman" w:eastAsia="Times New Roman" w:hAnsi="Times New Roman"/>
                <w:sz w:val="16"/>
                <w:szCs w:val="16"/>
                <w:b w:val="1"/>
                <w:bCs w:val="1"/>
                <w:color w:val="auto"/>
              </w:rPr>
              <w:t xml:space="preserve">Separate Accounts and Other </w:t>
            </w:r>
            <w:r>
              <w:rPr>
                <w:rFonts w:ascii="Times New Roman" w:cs="Times New Roman" w:eastAsia="Times New Roman" w:hAnsi="Times New Roman"/>
                <w:sz w:val="21"/>
                <w:szCs w:val="21"/>
                <w:b w:val="1"/>
                <w:bCs w:val="1"/>
                <w:color w:val="auto"/>
                <w:vertAlign w:val="superscript"/>
              </w:rPr>
              <w:t>(1)</w:t>
            </w:r>
          </w:p>
        </w:tc>
        <w:tc>
          <w:tcPr>
            <w:tcW w:w="240" w:type="dxa"/>
            <w:vAlign w:val="bottom"/>
          </w:tcPr>
          <w:p>
            <w:pPr>
              <w:spacing w:after="0"/>
              <w:rPr>
                <w:sz w:val="20"/>
                <w:szCs w:val="20"/>
                <w:color w:val="auto"/>
              </w:rPr>
            </w:pPr>
          </w:p>
        </w:tc>
        <w:tc>
          <w:tcPr>
            <w:tcW w:w="3320" w:type="dxa"/>
            <w:vAlign w:val="bottom"/>
            <w:gridSpan w:val="4"/>
          </w:tcPr>
          <w:p>
            <w:pPr>
              <w:jc w:val="right"/>
              <w:ind w:right="279"/>
              <w:spacing w:after="0"/>
              <w:rPr>
                <w:sz w:val="20"/>
                <w:szCs w:val="20"/>
                <w:color w:val="auto"/>
              </w:rPr>
            </w:pPr>
            <w:r>
              <w:rPr>
                <w:rFonts w:ascii="Times New Roman" w:cs="Times New Roman" w:eastAsia="Times New Roman" w:hAnsi="Times New Roman"/>
                <w:sz w:val="16"/>
                <w:szCs w:val="16"/>
                <w:b w:val="1"/>
                <w:bCs w:val="1"/>
                <w:color w:val="auto"/>
              </w:rPr>
              <w:t>Artisan Funds and Artisan Global Funds</w:t>
            </w:r>
          </w:p>
        </w:tc>
      </w:tr>
      <w:tr>
        <w:trPr>
          <w:trHeight w:val="208"/>
        </w:trPr>
        <w:tc>
          <w:tcPr>
            <w:tcW w:w="404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For the Three Months Ended March 31,</w:t>
            </w:r>
          </w:p>
        </w:tc>
        <w:tc>
          <w:tcPr>
            <w:tcW w:w="380" w:type="dxa"/>
            <w:vAlign w:val="bottom"/>
            <w:tcBorders>
              <w:top w:val="single" w:sz="8" w:color="auto"/>
              <w:bottom w:val="single" w:sz="8" w:color="auto"/>
            </w:tcBorders>
          </w:tcPr>
          <w:p>
            <w:pPr>
              <w:spacing w:after="0"/>
              <w:rPr>
                <w:sz w:val="18"/>
                <w:szCs w:val="18"/>
                <w:color w:val="auto"/>
              </w:rPr>
            </w:pPr>
          </w:p>
        </w:tc>
        <w:tc>
          <w:tcPr>
            <w:tcW w:w="1320" w:type="dxa"/>
            <w:vAlign w:val="bottom"/>
            <w:tcBorders>
              <w:top w:val="single" w:sz="8" w:color="auto"/>
              <w:bottom w:val="single" w:sz="8" w:color="auto"/>
            </w:tcBorders>
          </w:tcPr>
          <w:p>
            <w:pPr>
              <w:jc w:val="right"/>
              <w:ind w:right="599"/>
              <w:spacing w:after="0"/>
              <w:rPr>
                <w:sz w:val="20"/>
                <w:szCs w:val="20"/>
                <w:color w:val="auto"/>
              </w:rPr>
            </w:pPr>
            <w:r>
              <w:rPr>
                <w:rFonts w:ascii="Times New Roman" w:cs="Times New Roman" w:eastAsia="Times New Roman" w:hAnsi="Times New Roman"/>
                <w:sz w:val="16"/>
                <w:szCs w:val="16"/>
                <w:b w:val="1"/>
                <w:bCs w:val="1"/>
                <w:color w:val="auto"/>
              </w:rPr>
              <w:t>2026</w:t>
            </w:r>
          </w:p>
        </w:tc>
        <w:tc>
          <w:tcPr>
            <w:tcW w:w="120" w:type="dxa"/>
            <w:vAlign w:val="bottom"/>
            <w:tcBorders>
              <w:top w:val="single" w:sz="8" w:color="auto"/>
            </w:tcBorders>
          </w:tcPr>
          <w:p>
            <w:pPr>
              <w:spacing w:after="0"/>
              <w:rPr>
                <w:sz w:val="18"/>
                <w:szCs w:val="18"/>
                <w:color w:val="auto"/>
              </w:rPr>
            </w:pPr>
          </w:p>
        </w:tc>
        <w:tc>
          <w:tcPr>
            <w:tcW w:w="400" w:type="dxa"/>
            <w:vAlign w:val="bottom"/>
            <w:tcBorders>
              <w:top w:val="single" w:sz="8" w:color="auto"/>
              <w:bottom w:val="single" w:sz="8" w:color="auto"/>
            </w:tcBorders>
          </w:tcPr>
          <w:p>
            <w:pPr>
              <w:spacing w:after="0"/>
              <w:rPr>
                <w:sz w:val="18"/>
                <w:szCs w:val="18"/>
                <w:color w:val="auto"/>
              </w:rPr>
            </w:pPr>
          </w:p>
        </w:tc>
        <w:tc>
          <w:tcPr>
            <w:tcW w:w="1300" w:type="dxa"/>
            <w:vAlign w:val="bottom"/>
            <w:tcBorders>
              <w:top w:val="single" w:sz="8" w:color="auto"/>
              <w:bottom w:val="single" w:sz="8" w:color="auto"/>
            </w:tcBorders>
          </w:tcPr>
          <w:p>
            <w:pPr>
              <w:jc w:val="right"/>
              <w:ind w:right="599"/>
              <w:spacing w:after="0"/>
              <w:rPr>
                <w:sz w:val="20"/>
                <w:szCs w:val="20"/>
                <w:color w:val="auto"/>
              </w:rPr>
            </w:pPr>
            <w:r>
              <w:rPr>
                <w:rFonts w:ascii="Times New Roman" w:cs="Times New Roman" w:eastAsia="Times New Roman" w:hAnsi="Times New Roman"/>
                <w:sz w:val="16"/>
                <w:szCs w:val="16"/>
                <w:b w:val="1"/>
                <w:bCs w:val="1"/>
                <w:color w:val="auto"/>
              </w:rPr>
              <w:t>2025</w:t>
            </w:r>
          </w:p>
        </w:tc>
        <w:tc>
          <w:tcPr>
            <w:tcW w:w="120" w:type="dxa"/>
            <w:vAlign w:val="bottom"/>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1480" w:type="dxa"/>
            <w:vAlign w:val="bottom"/>
            <w:tcBorders>
              <w:top w:val="single" w:sz="8" w:color="auto"/>
              <w:bottom w:val="single" w:sz="8" w:color="auto"/>
            </w:tcBorders>
          </w:tcPr>
          <w:p>
            <w:pPr>
              <w:jc w:val="right"/>
              <w:ind w:right="619"/>
              <w:spacing w:after="0"/>
              <w:rPr>
                <w:sz w:val="20"/>
                <w:szCs w:val="20"/>
                <w:color w:val="auto"/>
              </w:rPr>
            </w:pPr>
            <w:r>
              <w:rPr>
                <w:rFonts w:ascii="Times New Roman" w:cs="Times New Roman" w:eastAsia="Times New Roman" w:hAnsi="Times New Roman"/>
                <w:sz w:val="16"/>
                <w:szCs w:val="16"/>
                <w:b w:val="1"/>
                <w:bCs w:val="1"/>
                <w:color w:val="auto"/>
              </w:rPr>
              <w:t>2026</w:t>
            </w:r>
          </w:p>
        </w:tc>
        <w:tc>
          <w:tcPr>
            <w:tcW w:w="120" w:type="dxa"/>
            <w:vAlign w:val="bottom"/>
            <w:tcBorders>
              <w:top w:val="single" w:sz="8" w:color="auto"/>
            </w:tcBorders>
          </w:tcPr>
          <w:p>
            <w:pPr>
              <w:spacing w:after="0"/>
              <w:rPr>
                <w:sz w:val="18"/>
                <w:szCs w:val="18"/>
                <w:color w:val="auto"/>
              </w:rPr>
            </w:pPr>
          </w:p>
        </w:tc>
        <w:tc>
          <w:tcPr>
            <w:tcW w:w="400" w:type="dxa"/>
            <w:vAlign w:val="bottom"/>
            <w:tcBorders>
              <w:top w:val="single" w:sz="8" w:color="auto"/>
              <w:bottom w:val="single" w:sz="8" w:color="auto"/>
            </w:tcBorders>
          </w:tcPr>
          <w:p>
            <w:pPr>
              <w:spacing w:after="0"/>
              <w:rPr>
                <w:sz w:val="18"/>
                <w:szCs w:val="18"/>
                <w:color w:val="auto"/>
              </w:rPr>
            </w:pPr>
          </w:p>
        </w:tc>
        <w:tc>
          <w:tcPr>
            <w:tcW w:w="1320" w:type="dxa"/>
            <w:vAlign w:val="bottom"/>
            <w:tcBorders>
              <w:top w:val="single" w:sz="8" w:color="auto"/>
              <w:bottom w:val="single" w:sz="8" w:color="auto"/>
            </w:tcBorders>
          </w:tcPr>
          <w:p>
            <w:pPr>
              <w:jc w:val="right"/>
              <w:ind w:right="619"/>
              <w:spacing w:after="0"/>
              <w:rPr>
                <w:sz w:val="20"/>
                <w:szCs w:val="20"/>
                <w:color w:val="auto"/>
              </w:rPr>
            </w:pPr>
            <w:r>
              <w:rPr>
                <w:rFonts w:ascii="Times New Roman" w:cs="Times New Roman" w:eastAsia="Times New Roman" w:hAnsi="Times New Roman"/>
                <w:sz w:val="16"/>
                <w:szCs w:val="16"/>
                <w:b w:val="1"/>
                <w:bCs w:val="1"/>
                <w:color w:val="auto"/>
              </w:rPr>
              <w:t>2025</w:t>
            </w:r>
          </w:p>
        </w:tc>
      </w:tr>
      <w:tr>
        <w:trPr>
          <w:trHeight w:val="249"/>
        </w:trPr>
        <w:tc>
          <w:tcPr>
            <w:tcW w:w="40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3260" w:type="dxa"/>
            <w:vAlign w:val="bottom"/>
            <w:gridSpan w:val="5"/>
          </w:tcPr>
          <w:p>
            <w:pPr>
              <w:ind w:left="380"/>
              <w:spacing w:after="0"/>
              <w:rPr>
                <w:sz w:val="20"/>
                <w:szCs w:val="20"/>
                <w:color w:val="auto"/>
              </w:rPr>
            </w:pPr>
            <w:r>
              <w:rPr>
                <w:rFonts w:ascii="Times New Roman" w:cs="Times New Roman" w:eastAsia="Times New Roman" w:hAnsi="Times New Roman"/>
                <w:sz w:val="16"/>
                <w:szCs w:val="16"/>
                <w:color w:val="auto"/>
              </w:rPr>
              <w:t>(unaudited; dollars in millions)</w:t>
            </w:r>
          </w:p>
        </w:tc>
        <w:tc>
          <w:tcPr>
            <w:tcW w:w="400" w:type="dxa"/>
            <w:vAlign w:val="bottom"/>
          </w:tcPr>
          <w:p>
            <w:pPr>
              <w:spacing w:after="0"/>
              <w:rPr>
                <w:sz w:val="21"/>
                <w:szCs w:val="21"/>
                <w:color w:val="auto"/>
              </w:rPr>
            </w:pPr>
          </w:p>
        </w:tc>
        <w:tc>
          <w:tcPr>
            <w:tcW w:w="1320" w:type="dxa"/>
            <w:vAlign w:val="bottom"/>
          </w:tcPr>
          <w:p>
            <w:pPr>
              <w:spacing w:after="0"/>
              <w:rPr>
                <w:sz w:val="21"/>
                <w:szCs w:val="21"/>
                <w:color w:val="auto"/>
              </w:rPr>
            </w:pPr>
          </w:p>
        </w:tc>
      </w:tr>
      <w:tr>
        <w:trPr>
          <w:trHeight w:val="219"/>
        </w:trPr>
        <w:tc>
          <w:tcPr>
            <w:tcW w:w="4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Investment advisory fees</w:t>
            </w:r>
          </w:p>
        </w:tc>
        <w:tc>
          <w:tcPr>
            <w:tcW w:w="38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110.1</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102.4</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48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192.9</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174.7</w:t>
            </w:r>
          </w:p>
        </w:tc>
      </w:tr>
      <w:tr>
        <w:trPr>
          <w:trHeight w:val="216"/>
        </w:trPr>
        <w:tc>
          <w:tcPr>
            <w:tcW w:w="4040" w:type="dxa"/>
            <w:vAlign w:val="bottom"/>
          </w:tcPr>
          <w:p>
            <w:pPr>
              <w:ind w:left="20"/>
              <w:spacing w:after="0" w:line="216" w:lineRule="exact"/>
              <w:rPr>
                <w:sz w:val="20"/>
                <w:szCs w:val="20"/>
                <w:color w:val="auto"/>
              </w:rPr>
            </w:pPr>
            <w:r>
              <w:rPr>
                <w:rFonts w:ascii="Times New Roman" w:cs="Times New Roman" w:eastAsia="Times New Roman" w:hAnsi="Times New Roman"/>
                <w:sz w:val="16"/>
                <w:szCs w:val="16"/>
                <w:color w:val="auto"/>
              </w:rPr>
              <w:t xml:space="preserve">Weighted average fee </w:t>
            </w:r>
            <w:r>
              <w:rPr>
                <w:rFonts w:ascii="Times New Roman" w:cs="Times New Roman" w:eastAsia="Times New Roman" w:hAnsi="Times New Roman"/>
                <w:sz w:val="21"/>
                <w:szCs w:val="21"/>
                <w:color w:val="auto"/>
                <w:vertAlign w:val="superscript"/>
              </w:rPr>
              <w:t>(2)</w:t>
            </w:r>
          </w:p>
        </w:tc>
        <w:tc>
          <w:tcPr>
            <w:tcW w:w="380" w:type="dxa"/>
            <w:vAlign w:val="bottom"/>
          </w:tcPr>
          <w:p>
            <w:pPr>
              <w:spacing w:after="0"/>
              <w:rPr>
                <w:sz w:val="18"/>
                <w:szCs w:val="18"/>
                <w:color w:val="auto"/>
              </w:rPr>
            </w:pPr>
          </w:p>
        </w:tc>
        <w:tc>
          <w:tcPr>
            <w:tcW w:w="1440" w:type="dxa"/>
            <w:vAlign w:val="bottom"/>
            <w:gridSpan w:val="2"/>
          </w:tcPr>
          <w:p>
            <w:pPr>
              <w:ind w:left="760"/>
              <w:spacing w:after="0"/>
              <w:rPr>
                <w:sz w:val="20"/>
                <w:szCs w:val="20"/>
                <w:color w:val="auto"/>
              </w:rPr>
            </w:pPr>
            <w:r>
              <w:rPr>
                <w:rFonts w:ascii="Times New Roman" w:cs="Times New Roman" w:eastAsia="Times New Roman" w:hAnsi="Times New Roman"/>
                <w:sz w:val="16"/>
                <w:szCs w:val="16"/>
                <w:color w:val="auto"/>
              </w:rPr>
              <w:t>47.9 bps</w:t>
            </w:r>
          </w:p>
        </w:tc>
        <w:tc>
          <w:tcPr>
            <w:tcW w:w="400" w:type="dxa"/>
            <w:vAlign w:val="bottom"/>
          </w:tcPr>
          <w:p>
            <w:pPr>
              <w:spacing w:after="0"/>
              <w:rPr>
                <w:sz w:val="18"/>
                <w:szCs w:val="18"/>
                <w:color w:val="auto"/>
              </w:rPr>
            </w:pPr>
          </w:p>
        </w:tc>
        <w:tc>
          <w:tcPr>
            <w:tcW w:w="1420" w:type="dxa"/>
            <w:vAlign w:val="bottom"/>
            <w:gridSpan w:val="2"/>
          </w:tcPr>
          <w:p>
            <w:pPr>
              <w:ind w:left="740"/>
              <w:spacing w:after="0"/>
              <w:rPr>
                <w:sz w:val="20"/>
                <w:szCs w:val="20"/>
                <w:color w:val="auto"/>
              </w:rPr>
            </w:pPr>
            <w:r>
              <w:rPr>
                <w:rFonts w:ascii="Times New Roman" w:cs="Times New Roman" w:eastAsia="Times New Roman" w:hAnsi="Times New Roman"/>
                <w:sz w:val="16"/>
                <w:szCs w:val="16"/>
                <w:color w:val="auto"/>
              </w:rPr>
              <w:t>48.2 bps</w:t>
            </w:r>
          </w:p>
        </w:tc>
        <w:tc>
          <w:tcPr>
            <w:tcW w:w="240" w:type="dxa"/>
            <w:vAlign w:val="bottom"/>
          </w:tcPr>
          <w:p>
            <w:pPr>
              <w:spacing w:after="0"/>
              <w:rPr>
                <w:sz w:val="18"/>
                <w:szCs w:val="18"/>
                <w:color w:val="auto"/>
              </w:rPr>
            </w:pPr>
          </w:p>
        </w:tc>
        <w:tc>
          <w:tcPr>
            <w:tcW w:w="1600" w:type="dxa"/>
            <w:vAlign w:val="bottom"/>
            <w:gridSpan w:val="2"/>
          </w:tcPr>
          <w:p>
            <w:pPr>
              <w:ind w:left="920"/>
              <w:spacing w:after="0"/>
              <w:rPr>
                <w:sz w:val="20"/>
                <w:szCs w:val="20"/>
                <w:color w:val="auto"/>
              </w:rPr>
            </w:pPr>
            <w:r>
              <w:rPr>
                <w:rFonts w:ascii="Times New Roman" w:cs="Times New Roman" w:eastAsia="Times New Roman" w:hAnsi="Times New Roman"/>
                <w:sz w:val="16"/>
                <w:szCs w:val="16"/>
                <w:color w:val="auto"/>
              </w:rPr>
              <w:t>87.8 bps</w:t>
            </w:r>
          </w:p>
        </w:tc>
        <w:tc>
          <w:tcPr>
            <w:tcW w:w="4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88.2 bps</w:t>
            </w:r>
          </w:p>
        </w:tc>
      </w:tr>
      <w:tr>
        <w:trPr>
          <w:trHeight w:val="210"/>
        </w:trPr>
        <w:tc>
          <w:tcPr>
            <w:tcW w:w="40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Percentage of ending AUM</w:t>
            </w:r>
          </w:p>
        </w:tc>
        <w:tc>
          <w:tcPr>
            <w:tcW w:w="3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51 %</w:t>
            </w: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51 %</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49 %</w:t>
            </w: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-132715</wp:posOffset>
            </wp:positionV>
            <wp:extent cx="7132320" cy="13716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ind w:left="160" w:hanging="134"/>
        <w:spacing w:after="0" w:line="227" w:lineRule="auto"/>
        <w:tabs>
          <w:tab w:leader="none" w:pos="160" w:val="left"/>
        </w:tabs>
        <w:numPr>
          <w:ilvl w:val="0"/>
          <w:numId w:val="25"/>
        </w:numPr>
        <w:rPr>
          <w:rFonts w:ascii="Times New Roman" w:cs="Times New Roman" w:eastAsia="Times New Roman" w:hAnsi="Times New Roman"/>
          <w:sz w:val="17"/>
          <w:szCs w:val="17"/>
          <w:color w:val="auto"/>
          <w:vertAlign w:val="superscript"/>
        </w:rPr>
      </w:pPr>
      <w:r>
        <w:rPr>
          <w:rFonts w:ascii="Times New Roman" w:cs="Times New Roman" w:eastAsia="Times New Roman" w:hAnsi="Times New Roman"/>
          <w:sz w:val="13"/>
          <w:szCs w:val="13"/>
          <w:color w:val="auto"/>
        </w:rPr>
        <w:t>Separate accounts and other consists of assets we manage in or through vehicles other than Artisan Funds or Artisan Global Funds.</w:t>
      </w:r>
    </w:p>
    <w:p>
      <w:pPr>
        <w:spacing w:after="0" w:line="55" w:lineRule="exact"/>
        <w:rPr>
          <w:rFonts w:ascii="Times New Roman" w:cs="Times New Roman" w:eastAsia="Times New Roman" w:hAnsi="Times New Roman"/>
          <w:sz w:val="17"/>
          <w:szCs w:val="17"/>
          <w:color w:val="auto"/>
          <w:vertAlign w:val="superscript"/>
        </w:rPr>
      </w:pPr>
    </w:p>
    <w:p>
      <w:pPr>
        <w:ind w:left="160" w:hanging="134"/>
        <w:spacing w:after="0" w:line="214" w:lineRule="auto"/>
        <w:tabs>
          <w:tab w:leader="none" w:pos="160" w:val="left"/>
        </w:tabs>
        <w:numPr>
          <w:ilvl w:val="0"/>
          <w:numId w:val="25"/>
        </w:numPr>
        <w:rPr>
          <w:rFonts w:ascii="Times New Roman" w:cs="Times New Roman" w:eastAsia="Times New Roman" w:hAnsi="Times New Roman"/>
          <w:sz w:val="17"/>
          <w:szCs w:val="17"/>
          <w:color w:val="auto"/>
          <w:vertAlign w:val="superscript"/>
        </w:rPr>
      </w:pPr>
      <w:r>
        <w:rPr>
          <w:rFonts w:ascii="Times New Roman" w:cs="Times New Roman" w:eastAsia="Times New Roman" w:hAnsi="Times New Roman"/>
          <w:sz w:val="13"/>
          <w:szCs w:val="13"/>
          <w:color w:val="auto"/>
        </w:rPr>
        <w:t>We compute our weighted average fee by dividing annualized investment advisory fees, inclusive of performance fees, by average AUM for the applicable period.</w:t>
      </w:r>
    </w:p>
    <w:p>
      <w:pPr>
        <w:sectPr>
          <w:pgSz w:w="11900" w:h="16838" w:orient="portrait"/>
          <w:cols w:equalWidth="0" w:num="1">
            <w:col w:w="11240"/>
          </w:cols>
          <w:pgMar w:left="320" w:top="118" w:right="339" w:bottom="1440" w:gutter="0" w:footer="0" w:header="0"/>
        </w:sect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Operating Expenses</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Compensation and Benefits</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 xml:space="preserve">Salaries, incentive compensation and benefits </w:t>
      </w:r>
      <w:r>
        <w:rPr>
          <w:rFonts w:ascii="Times New Roman" w:cs="Times New Roman" w:eastAsia="Times New Roman" w:hAnsi="Times New Roman"/>
          <w:sz w:val="21"/>
          <w:szCs w:val="21"/>
          <w:color w:val="auto"/>
          <w:vertAlign w:val="superscript"/>
        </w:rPr>
        <w:t>(1)</w:t>
      </w:r>
    </w:p>
    <w:p>
      <w:pPr>
        <w:ind w:left="20"/>
        <w:spacing w:after="0"/>
        <w:rPr>
          <w:sz w:val="20"/>
          <w:szCs w:val="20"/>
          <w:color w:val="auto"/>
        </w:rPr>
      </w:pPr>
      <w:r>
        <w:rPr>
          <w:rFonts w:ascii="Times New Roman" w:cs="Times New Roman" w:eastAsia="Times New Roman" w:hAnsi="Times New Roman"/>
          <w:sz w:val="16"/>
          <w:szCs w:val="16"/>
          <w:color w:val="auto"/>
        </w:rPr>
        <w:t>Long-term incentive compensation awards</w:t>
      </w:r>
    </w:p>
    <w:p>
      <w:pPr>
        <w:spacing w:after="0" w:line="53"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6"/>
          <w:szCs w:val="16"/>
          <w:b w:val="1"/>
          <w:bCs w:val="1"/>
          <w:color w:val="auto"/>
        </w:rPr>
        <w:t>Total compensation and benefits</w:t>
      </w:r>
    </w:p>
    <w:p>
      <w:pPr>
        <w:spacing w:after="0" w:line="18" w:lineRule="exact"/>
        <w:rPr>
          <w:sz w:val="20"/>
          <w:szCs w:val="20"/>
          <w:color w:val="auto"/>
        </w:rPr>
      </w:pPr>
    </w:p>
    <w:p>
      <w:pPr>
        <w:ind w:left="160" w:hanging="134"/>
        <w:spacing w:after="0"/>
        <w:tabs>
          <w:tab w:leader="none" w:pos="160" w:val="left"/>
        </w:tabs>
        <w:numPr>
          <w:ilvl w:val="0"/>
          <w:numId w:val="26"/>
        </w:numPr>
        <w:rPr>
          <w:rFonts w:ascii="Times New Roman" w:cs="Times New Roman" w:eastAsia="Times New Roman" w:hAnsi="Times New Roman"/>
          <w:sz w:val="17"/>
          <w:szCs w:val="17"/>
          <w:color w:val="auto"/>
          <w:vertAlign w:val="superscript"/>
        </w:rPr>
      </w:pPr>
      <w:r>
        <w:rPr>
          <w:rFonts w:ascii="Times New Roman" w:cs="Times New Roman" w:eastAsia="Times New Roman" w:hAnsi="Times New Roman"/>
          <w:sz w:val="13"/>
          <w:szCs w:val="13"/>
          <w:color w:val="auto"/>
        </w:rPr>
        <w:t>Excluding long-term incentive compensation awards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5"/>
        </w:trPr>
        <w:tc>
          <w:tcPr>
            <w:tcW w:w="160" w:type="dxa"/>
            <w:vAlign w:val="bottom"/>
          </w:tcPr>
          <w:p>
            <w:pPr>
              <w:spacing w:after="0"/>
              <w:rPr>
                <w:sz w:val="18"/>
                <w:szCs w:val="18"/>
                <w:color w:val="auto"/>
              </w:rPr>
            </w:pPr>
          </w:p>
        </w:tc>
        <w:tc>
          <w:tcPr>
            <w:tcW w:w="3160" w:type="dxa"/>
            <w:vAlign w:val="bottom"/>
            <w:gridSpan w:val="5"/>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rPr>
              <w:t>For the Three Months Ended March 31,</w:t>
            </w:r>
          </w:p>
        </w:tc>
        <w:tc>
          <w:tcPr>
            <w:tcW w:w="320" w:type="dxa"/>
            <w:vAlign w:val="bottom"/>
          </w:tcPr>
          <w:p>
            <w:pPr>
              <w:spacing w:after="0"/>
              <w:rPr>
                <w:sz w:val="18"/>
                <w:szCs w:val="18"/>
                <w:color w:val="auto"/>
              </w:rPr>
            </w:pPr>
          </w:p>
        </w:tc>
        <w:tc>
          <w:tcPr>
            <w:tcW w:w="2180" w:type="dxa"/>
            <w:vAlign w:val="bottom"/>
            <w:gridSpan w:val="3"/>
          </w:tcPr>
          <w:p>
            <w:pPr>
              <w:jc w:val="right"/>
              <w:ind w:right="579"/>
              <w:spacing w:after="0"/>
              <w:rPr>
                <w:sz w:val="20"/>
                <w:szCs w:val="20"/>
                <w:color w:val="auto"/>
              </w:rPr>
            </w:pPr>
            <w:r>
              <w:rPr>
                <w:rFonts w:ascii="Times New Roman" w:cs="Times New Roman" w:eastAsia="Times New Roman" w:hAnsi="Times New Roman"/>
                <w:sz w:val="16"/>
                <w:szCs w:val="16"/>
                <w:b w:val="1"/>
                <w:bCs w:val="1"/>
                <w:color w:val="auto"/>
              </w:rPr>
              <w:t>Period-to-Period</w:t>
            </w:r>
          </w:p>
        </w:tc>
      </w:tr>
      <w:tr>
        <w:trPr>
          <w:trHeight w:val="211"/>
        </w:trPr>
        <w:tc>
          <w:tcPr>
            <w:tcW w:w="160" w:type="dxa"/>
            <w:vAlign w:val="bottom"/>
            <w:tcBorders>
              <w:top w:val="single" w:sz="8" w:color="auto"/>
              <w:bottom w:val="single" w:sz="8" w:color="auto"/>
            </w:tcBorders>
          </w:tcPr>
          <w:p>
            <w:pPr>
              <w:spacing w:after="0"/>
              <w:rPr>
                <w:sz w:val="18"/>
                <w:szCs w:val="18"/>
                <w:color w:val="auto"/>
              </w:rPr>
            </w:pPr>
          </w:p>
        </w:tc>
        <w:tc>
          <w:tcPr>
            <w:tcW w:w="1380" w:type="dxa"/>
            <w:vAlign w:val="bottom"/>
            <w:tcBorders>
              <w:top w:val="single" w:sz="8" w:color="auto"/>
              <w:bottom w:val="single" w:sz="8" w:color="auto"/>
            </w:tcBorders>
          </w:tcPr>
          <w:p>
            <w:pPr>
              <w:jc w:val="right"/>
              <w:ind w:right="519"/>
              <w:spacing w:after="0"/>
              <w:rPr>
                <w:sz w:val="20"/>
                <w:szCs w:val="20"/>
                <w:color w:val="auto"/>
              </w:rPr>
            </w:pPr>
            <w:r>
              <w:rPr>
                <w:rFonts w:ascii="Times New Roman" w:cs="Times New Roman" w:eastAsia="Times New Roman" w:hAnsi="Times New Roman"/>
                <w:sz w:val="16"/>
                <w:szCs w:val="16"/>
                <w:b w:val="1"/>
                <w:bCs w:val="1"/>
                <w:color w:val="auto"/>
              </w:rPr>
              <w:t>2026</w:t>
            </w:r>
          </w:p>
        </w:tc>
        <w:tc>
          <w:tcPr>
            <w:tcW w:w="120" w:type="dxa"/>
            <w:vAlign w:val="bottom"/>
            <w:tcBorders>
              <w:top w:val="single" w:sz="8" w:color="auto"/>
            </w:tcBorders>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1180" w:type="dxa"/>
            <w:vAlign w:val="bottom"/>
            <w:tcBorders>
              <w:top w:val="single" w:sz="8" w:color="auto"/>
              <w:bottom w:val="single" w:sz="8" w:color="auto"/>
            </w:tcBorders>
          </w:tcPr>
          <w:p>
            <w:pPr>
              <w:jc w:val="right"/>
              <w:ind w:right="519"/>
              <w:spacing w:after="0"/>
              <w:rPr>
                <w:sz w:val="20"/>
                <w:szCs w:val="20"/>
                <w:color w:val="auto"/>
              </w:rPr>
            </w:pPr>
            <w:r>
              <w:rPr>
                <w:rFonts w:ascii="Times New Roman" w:cs="Times New Roman" w:eastAsia="Times New Roman" w:hAnsi="Times New Roman"/>
                <w:sz w:val="16"/>
                <w:szCs w:val="16"/>
                <w:b w:val="1"/>
                <w:bCs w:val="1"/>
                <w:color w:val="auto"/>
              </w:rPr>
              <w:t>2025</w:t>
            </w:r>
          </w:p>
        </w:tc>
        <w:tc>
          <w:tcPr>
            <w:tcW w:w="120" w:type="dxa"/>
            <w:vAlign w:val="bottom"/>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jc w:val="right"/>
              <w:ind w:right="439"/>
              <w:spacing w:after="0"/>
              <w:rPr>
                <w:sz w:val="20"/>
                <w:szCs w:val="20"/>
                <w:color w:val="auto"/>
              </w:rPr>
            </w:pPr>
            <w:r>
              <w:rPr>
                <w:rFonts w:ascii="Times New Roman" w:cs="Times New Roman" w:eastAsia="Times New Roman" w:hAnsi="Times New Roman"/>
                <w:sz w:val="16"/>
                <w:szCs w:val="16"/>
                <w:b w:val="1"/>
                <w:bCs w:val="1"/>
                <w:color w:val="auto"/>
              </w:rPr>
              <w:t>$</w:t>
            </w:r>
          </w:p>
        </w:tc>
        <w:tc>
          <w:tcPr>
            <w:tcW w:w="120" w:type="dxa"/>
            <w:vAlign w:val="bottom"/>
            <w:tcBorders>
              <w:top w:val="single" w:sz="8" w:color="auto"/>
            </w:tcBorders>
          </w:tcPr>
          <w:p>
            <w:pPr>
              <w:spacing w:after="0"/>
              <w:rPr>
                <w:sz w:val="18"/>
                <w:szCs w:val="18"/>
                <w:color w:val="auto"/>
              </w:rPr>
            </w:pPr>
          </w:p>
        </w:tc>
        <w:tc>
          <w:tcPr>
            <w:tcW w:w="1260" w:type="dxa"/>
            <w:vAlign w:val="bottom"/>
            <w:tcBorders>
              <w:top w:val="single" w:sz="8" w:color="auto"/>
              <w:bottom w:val="single" w:sz="8" w:color="auto"/>
            </w:tcBorders>
          </w:tcPr>
          <w:p>
            <w:pPr>
              <w:jc w:val="right"/>
              <w:ind w:right="459"/>
              <w:spacing w:after="0"/>
              <w:rPr>
                <w:sz w:val="20"/>
                <w:szCs w:val="20"/>
                <w:color w:val="auto"/>
              </w:rPr>
            </w:pPr>
            <w:r>
              <w:rPr>
                <w:rFonts w:ascii="Times New Roman" w:cs="Times New Roman" w:eastAsia="Times New Roman" w:hAnsi="Times New Roman"/>
                <w:sz w:val="16"/>
                <w:szCs w:val="16"/>
                <w:b w:val="1"/>
                <w:bCs w:val="1"/>
                <w:color w:val="auto"/>
              </w:rPr>
              <w:t>%</w:t>
            </w:r>
          </w:p>
        </w:tc>
      </w:tr>
      <w:tr>
        <w:trPr>
          <w:trHeight w:val="246"/>
        </w:trPr>
        <w:tc>
          <w:tcPr>
            <w:tcW w:w="160" w:type="dxa"/>
            <w:vAlign w:val="bottom"/>
          </w:tcPr>
          <w:p>
            <w:pPr>
              <w:spacing w:after="0"/>
              <w:rPr>
                <w:sz w:val="21"/>
                <w:szCs w:val="21"/>
                <w:color w:val="auto"/>
              </w:rPr>
            </w:pPr>
          </w:p>
        </w:tc>
        <w:tc>
          <w:tcPr>
            <w:tcW w:w="3160" w:type="dxa"/>
            <w:vAlign w:val="bottom"/>
            <w:gridSpan w:val="5"/>
          </w:tcPr>
          <w:p>
            <w:pPr>
              <w:jc w:val="center"/>
              <w:ind w:right="280"/>
              <w:spacing w:after="0"/>
              <w:rPr>
                <w:sz w:val="20"/>
                <w:szCs w:val="20"/>
                <w:color w:val="auto"/>
              </w:rPr>
            </w:pPr>
            <w:r>
              <w:rPr>
                <w:rFonts w:ascii="Times New Roman" w:cs="Times New Roman" w:eastAsia="Times New Roman" w:hAnsi="Times New Roman"/>
                <w:sz w:val="16"/>
                <w:szCs w:val="16"/>
                <w:color w:val="auto"/>
              </w:rPr>
              <w:t>(unaudited; in millions)</w:t>
            </w:r>
          </w:p>
        </w:tc>
        <w:tc>
          <w:tcPr>
            <w:tcW w:w="3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60" w:type="dxa"/>
            <w:vAlign w:val="bottom"/>
          </w:tcPr>
          <w:p>
            <w:pPr>
              <w:spacing w:after="0"/>
              <w:rPr>
                <w:sz w:val="21"/>
                <w:szCs w:val="21"/>
                <w:color w:val="auto"/>
              </w:rPr>
            </w:pPr>
          </w:p>
        </w:tc>
      </w:tr>
      <w:tr>
        <w:trPr>
          <w:trHeight w:val="216"/>
        </w:trPr>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146.8</w:t>
            </w:r>
          </w:p>
        </w:tc>
        <w:tc>
          <w:tcPr>
            <w:tcW w:w="120" w:type="dxa"/>
            <w:vAlign w:val="bottom"/>
          </w:tcPr>
          <w:p>
            <w:pPr>
              <w:spacing w:after="0"/>
              <w:rPr>
                <w:sz w:val="18"/>
                <w:szCs w:val="18"/>
                <w:color w:val="auto"/>
              </w:rPr>
            </w:pPr>
          </w:p>
        </w:tc>
        <w:tc>
          <w:tcPr>
            <w:tcW w:w="36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134.0</w:t>
            </w:r>
          </w:p>
        </w:tc>
        <w:tc>
          <w:tcPr>
            <w:tcW w:w="120" w:type="dxa"/>
            <w:vAlign w:val="bottom"/>
          </w:tcPr>
          <w:p>
            <w:pPr>
              <w:spacing w:after="0"/>
              <w:rPr>
                <w:sz w:val="18"/>
                <w:szCs w:val="18"/>
                <w:color w:val="auto"/>
              </w:rPr>
            </w:pPr>
          </w:p>
        </w:tc>
        <w:tc>
          <w:tcPr>
            <w:tcW w:w="32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12.8</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10 %</w:t>
            </w:r>
          </w:p>
        </w:tc>
      </w:tr>
      <w:tr>
        <w:trPr>
          <w:trHeight w:val="219"/>
        </w:trPr>
        <w:tc>
          <w:tcPr>
            <w:tcW w:w="16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21.9</w:t>
            </w:r>
          </w:p>
        </w:tc>
        <w:tc>
          <w:tcPr>
            <w:tcW w:w="12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21.2</w:t>
            </w:r>
          </w:p>
        </w:tc>
        <w:tc>
          <w:tcPr>
            <w:tcW w:w="12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0.7</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3 %</w:t>
            </w:r>
          </w:p>
        </w:tc>
      </w:tr>
      <w:tr>
        <w:trPr>
          <w:trHeight w:val="213"/>
        </w:trPr>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168.7</w:t>
            </w:r>
          </w:p>
        </w:tc>
        <w:tc>
          <w:tcPr>
            <w:tcW w:w="120" w:type="dxa"/>
            <w:vAlign w:val="bottom"/>
          </w:tcPr>
          <w:p>
            <w:pPr>
              <w:spacing w:after="0"/>
              <w:rPr>
                <w:sz w:val="18"/>
                <w:szCs w:val="18"/>
                <w:color w:val="auto"/>
              </w:rPr>
            </w:pPr>
          </w:p>
        </w:tc>
        <w:tc>
          <w:tcPr>
            <w:tcW w:w="360" w:type="dxa"/>
            <w:vAlign w:val="bottom"/>
            <w:tcBorders>
              <w:bottom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155.2</w:t>
            </w:r>
          </w:p>
        </w:tc>
        <w:tc>
          <w:tcPr>
            <w:tcW w:w="120" w:type="dxa"/>
            <w:vAlign w:val="bottom"/>
          </w:tcPr>
          <w:p>
            <w:pPr>
              <w:spacing w:after="0"/>
              <w:rPr>
                <w:sz w:val="18"/>
                <w:szCs w:val="18"/>
                <w:color w:val="auto"/>
              </w:rPr>
            </w:pPr>
          </w:p>
        </w:tc>
        <w:tc>
          <w:tcPr>
            <w:tcW w:w="32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13.5</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9 %</w:t>
            </w:r>
          </w:p>
        </w:tc>
      </w:tr>
      <w:tr>
        <w:trPr>
          <w:trHeight w:val="20"/>
        </w:trPr>
        <w:tc>
          <w:tcPr>
            <w:tcW w:w="16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-3435985</wp:posOffset>
            </wp:positionH>
            <wp:positionV relativeFrom="paragraph">
              <wp:posOffset>-453390</wp:posOffset>
            </wp:positionV>
            <wp:extent cx="7132320" cy="13716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-3435985</wp:posOffset>
            </wp:positionH>
            <wp:positionV relativeFrom="paragraph">
              <wp:posOffset>-179705</wp:posOffset>
            </wp:positionV>
            <wp:extent cx="7132320" cy="16319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351" w:lineRule="exact"/>
        <w:rPr>
          <w:sz w:val="20"/>
          <w:szCs w:val="20"/>
          <w:color w:val="auto"/>
        </w:rPr>
      </w:pPr>
    </w:p>
    <w:p>
      <w:pPr>
        <w:sectPr>
          <w:pgSz w:w="11900" w:h="16838" w:orient="portrait"/>
          <w:cols w:equalWidth="0" w:num="2">
            <w:col w:w="4700" w:space="720"/>
            <w:col w:w="5820"/>
          </w:cols>
          <w:pgMar w:left="320" w:top="118" w:right="339" w:bottom="1440" w:gutter="0" w:footer="0" w:header="0"/>
          <w:type w:val="continuous"/>
        </w:sectPr>
      </w:pP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increase in total compensation and benefits was primarily driven by a $8.7 million increase in short-term incentive compensation driven by higher revenues in the three</w:t>
      </w:r>
    </w:p>
    <w:p>
      <w:pPr>
        <w:spacing w:after="0" w:line="10" w:lineRule="exact"/>
        <w:rPr>
          <w:sz w:val="20"/>
          <w:szCs w:val="20"/>
          <w:color w:val="auto"/>
        </w:rPr>
      </w:pPr>
    </w:p>
    <w:p>
      <w:pPr>
        <w:ind w:right="140"/>
        <w:spacing w:after="0" w:line="231" w:lineRule="auto"/>
        <w:rPr>
          <w:sz w:val="20"/>
          <w:szCs w:val="20"/>
          <w:color w:val="auto"/>
        </w:rPr>
      </w:pPr>
      <w:r>
        <w:rPr>
          <w:rFonts w:ascii="Times New Roman" w:cs="Times New Roman" w:eastAsia="Times New Roman" w:hAnsi="Times New Roman"/>
          <w:sz w:val="16"/>
          <w:szCs w:val="16"/>
          <w:color w:val="auto"/>
        </w:rPr>
        <w:t>months ended March 31, 2026. A 2% increase in full-time associates, including those associated with the Grandview acquisition, also led to increases in compensation and benefit related expenses.</w:t>
      </w:r>
    </w:p>
    <w:p>
      <w:pPr>
        <w:spacing w:after="0" w:line="8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Total compensation and benefits was 56% of our revenues for the three months ended March 31, 2026 and 2025.</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Other operating expenses</w:t>
      </w:r>
    </w:p>
    <w:p>
      <w:pPr>
        <w:spacing w:after="0" w:line="115" w:lineRule="exact"/>
        <w:rPr>
          <w:sz w:val="20"/>
          <w:szCs w:val="20"/>
          <w:color w:val="auto"/>
        </w:rPr>
      </w:pPr>
    </w:p>
    <w:p>
      <w:pPr>
        <w:ind w:right="420"/>
        <w:spacing w:after="0" w:line="280" w:lineRule="auto"/>
        <w:rPr>
          <w:sz w:val="20"/>
          <w:szCs w:val="20"/>
          <w:color w:val="auto"/>
        </w:rPr>
      </w:pPr>
      <w:r>
        <w:rPr>
          <w:rFonts w:ascii="Times New Roman" w:cs="Times New Roman" w:eastAsia="Times New Roman" w:hAnsi="Times New Roman"/>
          <w:sz w:val="16"/>
          <w:szCs w:val="16"/>
          <w:color w:val="auto"/>
        </w:rPr>
        <w:t>Other operating expenses increased $4.7 million for the three months ended March 31, 2026, compared to the three months ended March 31, 2025, primarily due to an increase in general and administrative costs, most notably increases in professional fees.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type w:val="continuous"/>
        </w:sectPr>
      </w:pPr>
    </w:p>
    <w:bookmarkStart w:id="35" w:name="page36"/>
    <w:bookmarkEnd w:id="35"/>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5440" w:type="dxa"/>
            <w:vAlign w:val="bottom"/>
          </w:tcPr>
          <w:p>
            <w:pPr>
              <w:spacing w:after="0"/>
              <w:rPr>
                <w:sz w:val="20"/>
                <w:szCs w:val="20"/>
                <w:color w:val="auto"/>
              </w:rPr>
            </w:pPr>
            <w:r>
              <w:rPr>
                <w:rFonts w:ascii="Times New Roman" w:cs="Times New Roman" w:eastAsia="Times New Roman" w:hAnsi="Times New Roman"/>
                <w:sz w:val="16"/>
                <w:szCs w:val="16"/>
                <w:b w:val="1"/>
                <w:bCs w:val="1"/>
                <w:i w:val="1"/>
                <w:iCs w:val="1"/>
                <w:color w:val="auto"/>
              </w:rPr>
              <w:t>Non-Operating Income (Expense)</w:t>
            </w:r>
          </w:p>
        </w:tc>
        <w:tc>
          <w:tcPr>
            <w:tcW w:w="10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297"/>
        </w:trPr>
        <w:tc>
          <w:tcPr>
            <w:tcW w:w="5440" w:type="dxa"/>
            <w:vAlign w:val="bottom"/>
          </w:tcPr>
          <w:p>
            <w:pPr>
              <w:spacing w:after="0"/>
              <w:rPr>
                <w:sz w:val="20"/>
                <w:szCs w:val="20"/>
                <w:color w:val="auto"/>
              </w:rPr>
            </w:pPr>
            <w:r>
              <w:rPr>
                <w:rFonts w:ascii="Times New Roman" w:cs="Times New Roman" w:eastAsia="Times New Roman" w:hAnsi="Times New Roman"/>
                <w:sz w:val="16"/>
                <w:szCs w:val="16"/>
                <w:color w:val="auto"/>
              </w:rPr>
              <w:t>Non-operating income (expense) consisted of the following:</w:t>
            </w:r>
          </w:p>
        </w:tc>
        <w:tc>
          <w:tcPr>
            <w:tcW w:w="10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246"/>
        </w:trPr>
        <w:tc>
          <w:tcPr>
            <w:tcW w:w="5440" w:type="dxa"/>
            <w:vAlign w:val="bottom"/>
          </w:tcPr>
          <w:p>
            <w:pPr>
              <w:spacing w:after="0"/>
              <w:rPr>
                <w:sz w:val="21"/>
                <w:szCs w:val="21"/>
                <w:color w:val="auto"/>
              </w:rPr>
            </w:pPr>
          </w:p>
        </w:tc>
        <w:tc>
          <w:tcPr>
            <w:tcW w:w="3320" w:type="dxa"/>
            <w:vAlign w:val="bottom"/>
            <w:gridSpan w:val="6"/>
          </w:tcPr>
          <w:p>
            <w:pPr>
              <w:ind w:left="220"/>
              <w:spacing w:after="0"/>
              <w:rPr>
                <w:sz w:val="20"/>
                <w:szCs w:val="20"/>
                <w:color w:val="auto"/>
              </w:rPr>
            </w:pPr>
            <w:r>
              <w:rPr>
                <w:rFonts w:ascii="Times New Roman" w:cs="Times New Roman" w:eastAsia="Times New Roman" w:hAnsi="Times New Roman"/>
                <w:sz w:val="16"/>
                <w:szCs w:val="16"/>
                <w:b w:val="1"/>
                <w:bCs w:val="1"/>
                <w:color w:val="auto"/>
              </w:rPr>
              <w:t>For the Three Months Ended March 31,</w:t>
            </w:r>
          </w:p>
        </w:tc>
        <w:tc>
          <w:tcPr>
            <w:tcW w:w="320" w:type="dxa"/>
            <w:vAlign w:val="bottom"/>
          </w:tcPr>
          <w:p>
            <w:pPr>
              <w:spacing w:after="0"/>
              <w:rPr>
                <w:sz w:val="21"/>
                <w:szCs w:val="21"/>
                <w:color w:val="auto"/>
              </w:rPr>
            </w:pPr>
          </w:p>
        </w:tc>
        <w:tc>
          <w:tcPr>
            <w:tcW w:w="2160" w:type="dxa"/>
            <w:vAlign w:val="bottom"/>
            <w:gridSpan w:val="3"/>
          </w:tcPr>
          <w:p>
            <w:pPr>
              <w:jc w:val="right"/>
              <w:ind w:right="579"/>
              <w:spacing w:after="0"/>
              <w:rPr>
                <w:sz w:val="20"/>
                <w:szCs w:val="20"/>
                <w:color w:val="auto"/>
              </w:rPr>
            </w:pPr>
            <w:r>
              <w:rPr>
                <w:rFonts w:ascii="Times New Roman" w:cs="Times New Roman" w:eastAsia="Times New Roman" w:hAnsi="Times New Roman"/>
                <w:sz w:val="16"/>
                <w:szCs w:val="16"/>
                <w:b w:val="1"/>
                <w:bCs w:val="1"/>
                <w:color w:val="auto"/>
              </w:rPr>
              <w:t>Period-to-Period</w:t>
            </w:r>
          </w:p>
        </w:tc>
      </w:tr>
      <w:tr>
        <w:trPr>
          <w:trHeight w:val="211"/>
        </w:trPr>
        <w:tc>
          <w:tcPr>
            <w:tcW w:w="5440" w:type="dxa"/>
            <w:vAlign w:val="bottom"/>
          </w:tcPr>
          <w:p>
            <w:pPr>
              <w:spacing w:after="0"/>
              <w:rPr>
                <w:sz w:val="18"/>
                <w:szCs w:val="18"/>
                <w:color w:val="auto"/>
              </w:rPr>
            </w:pPr>
          </w:p>
        </w:tc>
        <w:tc>
          <w:tcPr>
            <w:tcW w:w="1080" w:type="dxa"/>
            <w:vAlign w:val="bottom"/>
            <w:tcBorders>
              <w:top w:val="single" w:sz="8" w:color="auto"/>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2026</w:t>
            </w:r>
          </w:p>
        </w:tc>
        <w:tc>
          <w:tcPr>
            <w:tcW w:w="460" w:type="dxa"/>
            <w:vAlign w:val="bottom"/>
            <w:tcBorders>
              <w:top w:val="single" w:sz="8" w:color="auto"/>
              <w:bottom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2025</w:t>
            </w:r>
          </w:p>
        </w:tc>
        <w:tc>
          <w:tcPr>
            <w:tcW w:w="480" w:type="dxa"/>
            <w:vAlign w:val="bottom"/>
            <w:tcBorders>
              <w:top w:val="single" w:sz="8" w:color="auto"/>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jc w:val="right"/>
              <w:ind w:right="419"/>
              <w:spacing w:after="0"/>
              <w:rPr>
                <w:sz w:val="20"/>
                <w:szCs w:val="20"/>
                <w:color w:val="auto"/>
              </w:rPr>
            </w:pPr>
            <w:r>
              <w:rPr>
                <w:rFonts w:ascii="Times New Roman" w:cs="Times New Roman" w:eastAsia="Times New Roman" w:hAnsi="Times New Roman"/>
                <w:sz w:val="16"/>
                <w:szCs w:val="16"/>
                <w:b w:val="1"/>
                <w:bCs w:val="1"/>
                <w:color w:val="auto"/>
              </w:rPr>
              <w:t>$</w:t>
            </w:r>
          </w:p>
        </w:tc>
        <w:tc>
          <w:tcPr>
            <w:tcW w:w="140" w:type="dxa"/>
            <w:vAlign w:val="bottom"/>
            <w:tcBorders>
              <w:top w:val="single" w:sz="8" w:color="auto"/>
            </w:tcBorders>
          </w:tcPr>
          <w:p>
            <w:pPr>
              <w:spacing w:after="0"/>
              <w:rPr>
                <w:sz w:val="18"/>
                <w:szCs w:val="18"/>
                <w:color w:val="auto"/>
              </w:rPr>
            </w:pPr>
          </w:p>
        </w:tc>
        <w:tc>
          <w:tcPr>
            <w:tcW w:w="1220" w:type="dxa"/>
            <w:vAlign w:val="bottom"/>
            <w:tcBorders>
              <w:top w:val="single" w:sz="8" w:color="auto"/>
              <w:bottom w:val="single" w:sz="8" w:color="auto"/>
            </w:tcBorders>
          </w:tcPr>
          <w:p>
            <w:pPr>
              <w:jc w:val="right"/>
              <w:ind w:right="459"/>
              <w:spacing w:after="0"/>
              <w:rPr>
                <w:sz w:val="20"/>
                <w:szCs w:val="20"/>
                <w:color w:val="auto"/>
              </w:rPr>
            </w:pPr>
            <w:r>
              <w:rPr>
                <w:rFonts w:ascii="Times New Roman" w:cs="Times New Roman" w:eastAsia="Times New Roman" w:hAnsi="Times New Roman"/>
                <w:sz w:val="16"/>
                <w:szCs w:val="16"/>
                <w:b w:val="1"/>
                <w:bCs w:val="1"/>
                <w:color w:val="auto"/>
              </w:rPr>
              <w:t>%</w:t>
            </w:r>
          </w:p>
        </w:tc>
      </w:tr>
      <w:tr>
        <w:trPr>
          <w:trHeight w:val="249"/>
        </w:trPr>
        <w:tc>
          <w:tcPr>
            <w:tcW w:w="5440" w:type="dxa"/>
            <w:vAlign w:val="bottom"/>
          </w:tcPr>
          <w:p>
            <w:pPr>
              <w:spacing w:after="0"/>
              <w:rPr>
                <w:sz w:val="21"/>
                <w:szCs w:val="21"/>
                <w:color w:val="auto"/>
              </w:rPr>
            </w:pPr>
          </w:p>
        </w:tc>
        <w:tc>
          <w:tcPr>
            <w:tcW w:w="2720" w:type="dxa"/>
            <w:vAlign w:val="bottom"/>
            <w:gridSpan w:val="4"/>
          </w:tcPr>
          <w:p>
            <w:pPr>
              <w:jc w:val="right"/>
              <w:ind w:right="259"/>
              <w:spacing w:after="0"/>
              <w:rPr>
                <w:sz w:val="20"/>
                <w:szCs w:val="20"/>
                <w:color w:val="auto"/>
              </w:rPr>
            </w:pPr>
            <w:r>
              <w:rPr>
                <w:rFonts w:ascii="Times New Roman" w:cs="Times New Roman" w:eastAsia="Times New Roman" w:hAnsi="Times New Roman"/>
                <w:sz w:val="16"/>
                <w:szCs w:val="16"/>
                <w:color w:val="auto"/>
              </w:rPr>
              <w:t>(unaudited; in millions)</w:t>
            </w:r>
          </w:p>
        </w:tc>
        <w:tc>
          <w:tcPr>
            <w:tcW w:w="4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spacing w:after="0"/>
              <w:rPr>
                <w:sz w:val="21"/>
                <w:szCs w:val="21"/>
                <w:color w:val="auto"/>
              </w:rPr>
            </w:pPr>
          </w:p>
        </w:tc>
      </w:tr>
      <w:tr>
        <w:trPr>
          <w:trHeight w:val="219"/>
        </w:trPr>
        <w:tc>
          <w:tcPr>
            <w:tcW w:w="5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investment gain (loss) of consolidated investment products</w:t>
            </w:r>
          </w:p>
        </w:tc>
        <w:tc>
          <w:tcPr>
            <w:tcW w:w="1080" w:type="dxa"/>
            <w:vAlign w:val="bottom"/>
            <w:shd w:val="clear" w:color="auto" w:fill="CCEEFF"/>
          </w:tcPr>
          <w:p>
            <w:pPr>
              <w:jc w:val="right"/>
              <w:ind w:right="899"/>
              <w:spacing w:after="0"/>
              <w:rPr>
                <w:sz w:val="20"/>
                <w:szCs w:val="20"/>
                <w:color w:val="auto"/>
              </w:rPr>
            </w:pPr>
            <w:r>
              <w:rPr>
                <w:rFonts w:ascii="Times New Roman" w:cs="Times New Roman" w:eastAsia="Times New Roman" w:hAnsi="Times New Roman"/>
                <w:sz w:val="16"/>
                <w:szCs w:val="16"/>
                <w:color w:val="auto"/>
                <w:w w:val="99"/>
              </w:rPr>
              <w:t>$</w:t>
            </w:r>
          </w:p>
        </w:tc>
        <w:tc>
          <w:tcPr>
            <w:tcW w:w="460" w:type="dxa"/>
            <w:vAlign w:val="bottom"/>
            <w:shd w:val="clear" w:color="auto" w:fill="CCEEFF"/>
          </w:tcPr>
          <w:p>
            <w:pPr>
              <w:jc w:val="center"/>
              <w:ind w:left="39"/>
              <w:spacing w:after="0"/>
              <w:rPr>
                <w:sz w:val="20"/>
                <w:szCs w:val="20"/>
                <w:color w:val="auto"/>
              </w:rPr>
            </w:pPr>
            <w:r>
              <w:rPr>
                <w:rFonts w:ascii="Times New Roman" w:cs="Times New Roman" w:eastAsia="Times New Roman" w:hAnsi="Times New Roman"/>
                <w:sz w:val="16"/>
                <w:szCs w:val="16"/>
                <w:color w:val="auto"/>
                <w:w w:val="97"/>
              </w:rPr>
              <w:t>(2.5)</w:t>
            </w: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879"/>
              <w:spacing w:after="0"/>
              <w:rPr>
                <w:sz w:val="20"/>
                <w:szCs w:val="20"/>
                <w:color w:val="auto"/>
              </w:rPr>
            </w:pPr>
            <w:r>
              <w:rPr>
                <w:rFonts w:ascii="Times New Roman" w:cs="Times New Roman" w:eastAsia="Times New Roman" w:hAnsi="Times New Roman"/>
                <w:sz w:val="16"/>
                <w:szCs w:val="16"/>
                <w:color w:val="auto"/>
                <w:w w:val="99"/>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(9.6)</w:t>
            </w:r>
          </w:p>
        </w:tc>
        <w:tc>
          <w:tcPr>
            <w:tcW w:w="1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(135)%</w:t>
            </w:r>
          </w:p>
        </w:tc>
      </w:tr>
      <w:tr>
        <w:trPr>
          <w:trHeight w:val="213"/>
        </w:trPr>
        <w:tc>
          <w:tcPr>
            <w:tcW w:w="54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investment gain (loss) on nonconsolidated seed investments</w:t>
            </w:r>
          </w:p>
        </w:tc>
        <w:tc>
          <w:tcPr>
            <w:tcW w:w="1080" w:type="dxa"/>
            <w:vAlign w:val="bottom"/>
          </w:tcPr>
          <w:p>
            <w:pPr>
              <w:spacing w:after="0"/>
              <w:rPr>
                <w:sz w:val="18"/>
                <w:szCs w:val="18"/>
                <w:color w:val="auto"/>
              </w:rPr>
            </w:pPr>
          </w:p>
        </w:tc>
        <w:tc>
          <w:tcPr>
            <w:tcW w:w="460" w:type="dxa"/>
            <w:vAlign w:val="bottom"/>
          </w:tcPr>
          <w:p>
            <w:pPr>
              <w:jc w:val="center"/>
              <w:ind w:left="59"/>
              <w:spacing w:after="0"/>
              <w:rPr>
                <w:sz w:val="20"/>
                <w:szCs w:val="20"/>
                <w:color w:val="auto"/>
              </w:rPr>
            </w:pPr>
            <w:r>
              <w:rPr>
                <w:rFonts w:ascii="Times New Roman" w:cs="Times New Roman" w:eastAsia="Times New Roman" w:hAnsi="Times New Roman"/>
                <w:sz w:val="16"/>
                <w:szCs w:val="16"/>
                <w:color w:val="auto"/>
                <w:w w:val="99"/>
              </w:rPr>
              <w:t>1.3</w:t>
            </w: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(0.4)</w:t>
            </w: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(24)%</w:t>
            </w:r>
          </w:p>
        </w:tc>
      </w:tr>
      <w:tr>
        <w:trPr>
          <w:trHeight w:val="219"/>
        </w:trPr>
        <w:tc>
          <w:tcPr>
            <w:tcW w:w="5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investment gain (loss) on nonconsolidated franchise capital investments</w:t>
            </w:r>
          </w:p>
        </w:tc>
        <w:tc>
          <w:tcPr>
            <w:tcW w:w="1080" w:type="dxa"/>
            <w:vAlign w:val="bottom"/>
            <w:tcBorders>
              <w:bottom w:val="single" w:sz="8" w:color="auto"/>
            </w:tcBorders>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jc w:val="center"/>
              <w:ind w:left="39"/>
              <w:spacing w:after="0"/>
              <w:rPr>
                <w:sz w:val="20"/>
                <w:szCs w:val="20"/>
                <w:color w:val="auto"/>
              </w:rPr>
            </w:pPr>
            <w:r>
              <w:rPr>
                <w:rFonts w:ascii="Times New Roman" w:cs="Times New Roman" w:eastAsia="Times New Roman" w:hAnsi="Times New Roman"/>
                <w:sz w:val="16"/>
                <w:szCs w:val="16"/>
                <w:color w:val="auto"/>
                <w:w w:val="97"/>
              </w:rPr>
              <w:t>(6.4)</w:t>
            </w:r>
          </w:p>
        </w:tc>
        <w:tc>
          <w:tcPr>
            <w:tcW w:w="120" w:type="dxa"/>
            <w:vAlign w:val="bottom"/>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(8.5)</w:t>
            </w:r>
          </w:p>
        </w:tc>
        <w:tc>
          <w:tcPr>
            <w:tcW w:w="1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(405)%</w:t>
            </w:r>
          </w:p>
        </w:tc>
      </w:tr>
      <w:tr>
        <w:trPr>
          <w:trHeight w:val="207"/>
        </w:trPr>
        <w:tc>
          <w:tcPr>
            <w:tcW w:w="54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Total net investment gain (loss)</w:t>
            </w:r>
          </w:p>
        </w:tc>
        <w:tc>
          <w:tcPr>
            <w:tcW w:w="1080" w:type="dxa"/>
            <w:vAlign w:val="bottom"/>
          </w:tcPr>
          <w:p>
            <w:pPr>
              <w:jc w:val="right"/>
              <w:ind w:right="899"/>
              <w:spacing w:after="0"/>
              <w:rPr>
                <w:sz w:val="20"/>
                <w:szCs w:val="20"/>
                <w:color w:val="auto"/>
              </w:rPr>
            </w:pPr>
            <w:r>
              <w:rPr>
                <w:rFonts w:ascii="Times New Roman" w:cs="Times New Roman" w:eastAsia="Times New Roman" w:hAnsi="Times New Roman"/>
                <w:sz w:val="16"/>
                <w:szCs w:val="16"/>
                <w:color w:val="auto"/>
                <w:w w:val="99"/>
              </w:rPr>
              <w:t>$</w:t>
            </w:r>
          </w:p>
        </w:tc>
        <w:tc>
          <w:tcPr>
            <w:tcW w:w="460" w:type="dxa"/>
            <w:vAlign w:val="bottom"/>
          </w:tcPr>
          <w:p>
            <w:pPr>
              <w:jc w:val="center"/>
              <w:ind w:left="39"/>
              <w:spacing w:after="0"/>
              <w:rPr>
                <w:sz w:val="20"/>
                <w:szCs w:val="20"/>
                <w:color w:val="auto"/>
              </w:rPr>
            </w:pPr>
            <w:r>
              <w:rPr>
                <w:rFonts w:ascii="Times New Roman" w:cs="Times New Roman" w:eastAsia="Times New Roman" w:hAnsi="Times New Roman"/>
                <w:sz w:val="16"/>
                <w:szCs w:val="16"/>
                <w:color w:val="auto"/>
                <w:w w:val="97"/>
              </w:rPr>
              <w:t>(7.6)</w:t>
            </w:r>
          </w:p>
        </w:tc>
        <w:tc>
          <w:tcPr>
            <w:tcW w:w="120" w:type="dxa"/>
            <w:vAlign w:val="bottom"/>
          </w:tcPr>
          <w:p>
            <w:pPr>
              <w:spacing w:after="0"/>
              <w:rPr>
                <w:sz w:val="17"/>
                <w:szCs w:val="17"/>
                <w:color w:val="auto"/>
              </w:rPr>
            </w:pPr>
          </w:p>
        </w:tc>
        <w:tc>
          <w:tcPr>
            <w:tcW w:w="1060" w:type="dxa"/>
            <w:vAlign w:val="bottom"/>
          </w:tcPr>
          <w:p>
            <w:pPr>
              <w:jc w:val="right"/>
              <w:ind w:right="879"/>
              <w:spacing w:after="0"/>
              <w:rPr>
                <w:sz w:val="20"/>
                <w:szCs w:val="20"/>
                <w:color w:val="auto"/>
              </w:rPr>
            </w:pPr>
            <w:r>
              <w:rPr>
                <w:rFonts w:ascii="Times New Roman" w:cs="Times New Roman" w:eastAsia="Times New Roman" w:hAnsi="Times New Roman"/>
                <w:sz w:val="16"/>
                <w:szCs w:val="16"/>
                <w:color w:val="auto"/>
                <w:w w:val="99"/>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10.9</w:t>
            </w:r>
          </w:p>
        </w:tc>
        <w:tc>
          <w:tcPr>
            <w:tcW w:w="120" w:type="dxa"/>
            <w:vAlign w:val="bottom"/>
          </w:tcPr>
          <w:p>
            <w:pPr>
              <w:spacing w:after="0"/>
              <w:rPr>
                <w:sz w:val="17"/>
                <w:szCs w:val="17"/>
                <w:color w:val="auto"/>
              </w:rPr>
            </w:pPr>
          </w:p>
        </w:tc>
        <w:tc>
          <w:tcPr>
            <w:tcW w:w="32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(18.5)</w:t>
            </w: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(170)%</w:t>
            </w:r>
          </w:p>
        </w:tc>
      </w:tr>
      <w:tr>
        <w:trPr>
          <w:trHeight w:val="219"/>
        </w:trPr>
        <w:tc>
          <w:tcPr>
            <w:tcW w:w="5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Interest expense</w:t>
            </w:r>
          </w:p>
        </w:tc>
        <w:tc>
          <w:tcPr>
            <w:tcW w:w="1080" w:type="dxa"/>
            <w:vAlign w:val="bottom"/>
            <w:shd w:val="clear" w:color="auto" w:fill="CCEEFF"/>
          </w:tcPr>
          <w:p>
            <w:pPr>
              <w:spacing w:after="0"/>
              <w:rPr>
                <w:sz w:val="19"/>
                <w:szCs w:val="19"/>
                <w:color w:val="auto"/>
              </w:rPr>
            </w:pPr>
          </w:p>
        </w:tc>
        <w:tc>
          <w:tcPr>
            <w:tcW w:w="460" w:type="dxa"/>
            <w:vAlign w:val="bottom"/>
            <w:shd w:val="clear" w:color="auto" w:fill="CCEEFF"/>
          </w:tcPr>
          <w:p>
            <w:pPr>
              <w:jc w:val="center"/>
              <w:ind w:left="39"/>
              <w:spacing w:after="0"/>
              <w:rPr>
                <w:sz w:val="20"/>
                <w:szCs w:val="20"/>
                <w:color w:val="auto"/>
              </w:rPr>
            </w:pPr>
            <w:r>
              <w:rPr>
                <w:rFonts w:ascii="Times New Roman" w:cs="Times New Roman" w:eastAsia="Times New Roman" w:hAnsi="Times New Roman"/>
                <w:sz w:val="16"/>
                <w:szCs w:val="16"/>
                <w:color w:val="auto"/>
                <w:w w:val="97"/>
              </w:rPr>
              <w:t>(2.1)</w:t>
            </w: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0 %</w:t>
            </w:r>
          </w:p>
        </w:tc>
      </w:tr>
      <w:tr>
        <w:trPr>
          <w:trHeight w:val="213"/>
        </w:trPr>
        <w:tc>
          <w:tcPr>
            <w:tcW w:w="54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Interest income on cash and cash equivalents and other</w:t>
            </w:r>
          </w:p>
        </w:tc>
        <w:tc>
          <w:tcPr>
            <w:tcW w:w="108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jc w:val="center"/>
              <w:ind w:left="59"/>
              <w:spacing w:after="0"/>
              <w:rPr>
                <w:sz w:val="20"/>
                <w:szCs w:val="20"/>
                <w:color w:val="auto"/>
              </w:rPr>
            </w:pPr>
            <w:r>
              <w:rPr>
                <w:rFonts w:ascii="Times New Roman" w:cs="Times New Roman" w:eastAsia="Times New Roman" w:hAnsi="Times New Roman"/>
                <w:sz w:val="16"/>
                <w:szCs w:val="16"/>
                <w:color w:val="auto"/>
                <w:w w:val="99"/>
              </w:rPr>
              <w:t>1.9</w:t>
            </w:r>
          </w:p>
        </w:tc>
        <w:tc>
          <w:tcPr>
            <w:tcW w:w="120" w:type="dxa"/>
            <w:vAlign w:val="bottom"/>
            <w:tcBorders>
              <w:bottom w:val="single" w:sz="8" w:color="CCEEFF"/>
            </w:tcBorders>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w:t>
            </w:r>
          </w:p>
        </w:tc>
        <w:tc>
          <w:tcPr>
            <w:tcW w:w="12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(0.1)</w:t>
            </w:r>
          </w:p>
        </w:tc>
        <w:tc>
          <w:tcPr>
            <w:tcW w:w="136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6"/>
                <w:szCs w:val="16"/>
                <w:color w:val="auto"/>
              </w:rPr>
              <w:t>(5)%</w:t>
            </w:r>
          </w:p>
        </w:tc>
      </w:tr>
      <w:tr>
        <w:trPr>
          <w:trHeight w:val="237"/>
        </w:trPr>
        <w:tc>
          <w:tcPr>
            <w:tcW w:w="54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non-operating income (expense)</w:t>
            </w:r>
          </w:p>
        </w:tc>
        <w:tc>
          <w:tcPr>
            <w:tcW w:w="1080" w:type="dxa"/>
            <w:vAlign w:val="bottom"/>
            <w:tcBorders>
              <w:bottom w:val="single" w:sz="8" w:color="auto"/>
            </w:tcBorders>
            <w:shd w:val="clear" w:color="auto" w:fill="CCEEFF"/>
          </w:tcPr>
          <w:p>
            <w:pPr>
              <w:jc w:val="right"/>
              <w:ind w:right="89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460" w:type="dxa"/>
            <w:vAlign w:val="bottom"/>
            <w:tcBorders>
              <w:bottom w:val="single" w:sz="8" w:color="auto"/>
            </w:tcBorders>
            <w:shd w:val="clear" w:color="auto" w:fill="CCEEFF"/>
          </w:tcPr>
          <w:p>
            <w:pPr>
              <w:jc w:val="center"/>
              <w:ind w:left="39"/>
              <w:spacing w:after="0"/>
              <w:rPr>
                <w:sz w:val="20"/>
                <w:szCs w:val="20"/>
                <w:color w:val="auto"/>
              </w:rPr>
            </w:pPr>
            <w:r>
              <w:rPr>
                <w:rFonts w:ascii="Times New Roman" w:cs="Times New Roman" w:eastAsia="Times New Roman" w:hAnsi="Times New Roman"/>
                <w:sz w:val="16"/>
                <w:szCs w:val="16"/>
                <w:b w:val="1"/>
                <w:bCs w:val="1"/>
                <w:color w:val="auto"/>
                <w:w w:val="97"/>
              </w:rPr>
              <w:t>(7.8)</w:t>
            </w:r>
          </w:p>
        </w:tc>
        <w:tc>
          <w:tcPr>
            <w:tcW w:w="12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auto"/>
            </w:tcBorders>
            <w:shd w:val="clear" w:color="auto" w:fill="CCEEFF"/>
          </w:tcPr>
          <w:p>
            <w:pPr>
              <w:jc w:val="right"/>
              <w:ind w:right="87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10.8</w:t>
            </w: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(18.6)</w:t>
            </w:r>
          </w:p>
        </w:tc>
        <w:tc>
          <w:tcPr>
            <w:tcW w:w="13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(172)%</w:t>
            </w:r>
          </w:p>
        </w:tc>
      </w:tr>
      <w:tr>
        <w:trPr>
          <w:trHeight w:val="20"/>
        </w:trPr>
        <w:tc>
          <w:tcPr>
            <w:tcW w:w="544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tcBorders>
          </w:tcPr>
          <w:p>
            <w:pPr>
              <w:spacing w:after="0" w:line="20" w:lineRule="exact"/>
              <w:rPr>
                <w:sz w:val="1"/>
                <w:szCs w:val="1"/>
                <w:color w:val="auto"/>
              </w:rPr>
            </w:pPr>
          </w:p>
        </w:tc>
      </w:tr>
    </w:tbl>
    <w:p>
      <w:pPr>
        <w:spacing w:after="0" w:line="175" w:lineRule="exact"/>
        <w:rPr>
          <w:sz w:val="20"/>
          <w:szCs w:val="20"/>
          <w:color w:val="auto"/>
        </w:rPr>
      </w:pPr>
    </w:p>
    <w:p>
      <w:pPr>
        <w:jc w:val="both"/>
        <w:ind w:right="120"/>
        <w:spacing w:after="0" w:line="272" w:lineRule="auto"/>
        <w:rPr>
          <w:sz w:val="20"/>
          <w:szCs w:val="20"/>
          <w:color w:val="auto"/>
        </w:rPr>
      </w:pPr>
      <w:r>
        <w:rPr>
          <w:rFonts w:ascii="Times New Roman" w:cs="Times New Roman" w:eastAsia="Times New Roman" w:hAnsi="Times New Roman"/>
          <w:sz w:val="16"/>
          <w:szCs w:val="16"/>
          <w:color w:val="auto"/>
        </w:rPr>
        <w:t>Net investment gain (loss) of consolidated investment products, net investment gain (loss) on nonconsolidated seed investments and net investment gain (loss) on franchise capital investments decreased $18.5 million in aggregate for the three months ended March 31, 2026, compared to the three months ended March 31, 2025, predominately due to market conditions.</w:t>
      </w:r>
    </w:p>
    <w:p>
      <w:pPr>
        <w:spacing w:after="0" w:line="76" w:lineRule="exact"/>
        <w:rPr>
          <w:sz w:val="20"/>
          <w:szCs w:val="20"/>
          <w:color w:val="auto"/>
        </w:rPr>
      </w:pPr>
    </w:p>
    <w:p>
      <w:pPr>
        <w:ind w:right="160"/>
        <w:spacing w:after="0" w:line="263" w:lineRule="auto"/>
        <w:rPr>
          <w:sz w:val="20"/>
          <w:szCs w:val="20"/>
          <w:color w:val="auto"/>
        </w:rPr>
      </w:pPr>
      <w:r>
        <w:rPr>
          <w:rFonts w:ascii="Times New Roman" w:cs="Times New Roman" w:eastAsia="Times New Roman" w:hAnsi="Times New Roman"/>
          <w:sz w:val="16"/>
          <w:szCs w:val="16"/>
          <w:color w:val="auto"/>
        </w:rPr>
        <w:t>Artisan's share of the $7.6 million total investment losses for the three months ended March 31, 2026 was comprised of $6.3 million of losses on investments to hedge compensation plans and $0.2 million of gains on seed investments. $1.5 million of the total investment losses for the three months ended March 31, 2026 were attributable to noncontrolling interests.</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Provision for Income Taxes</w:t>
      </w:r>
    </w:p>
    <w:p>
      <w:pPr>
        <w:spacing w:after="0" w:line="117" w:lineRule="exact"/>
        <w:rPr>
          <w:sz w:val="20"/>
          <w:szCs w:val="20"/>
          <w:color w:val="auto"/>
        </w:rPr>
      </w:pPr>
    </w:p>
    <w:p>
      <w:pPr>
        <w:ind w:right="20"/>
        <w:spacing w:after="0" w:line="260" w:lineRule="auto"/>
        <w:rPr>
          <w:sz w:val="20"/>
          <w:szCs w:val="20"/>
          <w:color w:val="auto"/>
        </w:rPr>
      </w:pPr>
      <w:r>
        <w:rPr>
          <w:rFonts w:ascii="Times New Roman" w:cs="Times New Roman" w:eastAsia="Times New Roman" w:hAnsi="Times New Roman"/>
          <w:sz w:val="16"/>
          <w:szCs w:val="16"/>
          <w:color w:val="auto"/>
        </w:rPr>
        <w:t>The provision for income taxes primarily represents APAM’s U.S. federal, state and local income taxes on its allocable portion of Holdings’ income, as well as foreign income taxes payable by Holdings’ subsidiaries. APAM’s effective income tax rate for the three months ended March 31, 2026 and 2025 was 21.7% and 20.6%, respectively. Several factors contribute to the effective tax rate, including a rate benefit attributable to the fact that approximately 14% of Holdings’ full year projected taxable earnings were not subject to corporate-level taxes for the three months ended March 31, 2026 and 2025. Thus, income before income taxes includes amounts that are attributable to noncontrolling interests and not taxable to APAM and its subsidiaries, which reduces the effective tax rate. As APAM’s equity ownership in Holdings increases, the effective tax rate will likewise increase as more income will be subject to corporate-level taxes.</w:t>
      </w:r>
    </w:p>
    <w:p>
      <w:pPr>
        <w:spacing w:after="0" w:line="8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Earnings Per Share</w:t>
      </w:r>
    </w:p>
    <w:p>
      <w:pPr>
        <w:spacing w:after="0" w:line="117" w:lineRule="exact"/>
        <w:rPr>
          <w:sz w:val="20"/>
          <w:szCs w:val="20"/>
          <w:color w:val="auto"/>
        </w:rPr>
      </w:pPr>
    </w:p>
    <w:p>
      <w:pPr>
        <w:ind w:right="160"/>
        <w:spacing w:after="0" w:line="272" w:lineRule="auto"/>
        <w:rPr>
          <w:sz w:val="20"/>
          <w:szCs w:val="20"/>
          <w:color w:val="auto"/>
        </w:rPr>
      </w:pPr>
      <w:r>
        <w:rPr>
          <w:rFonts w:ascii="Times New Roman" w:cs="Times New Roman" w:eastAsia="Times New Roman" w:hAnsi="Times New Roman"/>
          <w:sz w:val="16"/>
          <w:szCs w:val="16"/>
          <w:color w:val="auto"/>
        </w:rPr>
        <w:t>Weighted average basic and diluted shares of Class A common stock outstanding were higher for the three months ended March 31, 2026, compared to the three months ended March 31, 2025, as a result of equity award grants. See Note 13, “Earnings Per Share” in the Notes to the unaudited consolidated financial statements for discussion of earnings per share.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Supplemental Non-GAAP Financial Information</w:t>
      </w:r>
    </w:p>
    <w:p>
      <w:pPr>
        <w:spacing w:after="0" w:line="115"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6"/>
          <w:szCs w:val="16"/>
          <w:color w:val="auto"/>
        </w:rPr>
        <w:t>Our management uses non-GAAP measures (referred to as “adjusted” measures) of net income to evaluate the profitability and efficiency of the underlying operations of our business and as a factor when considering net income available for distributions and dividends. These adjusted measures remove the impact of (1) net gain (loss) on the tax receivable agreements (if any), (2) compensation expense (reversal) related to market valuation changes in compensation plans, (3) net investment gain (loss) of investment products, (4) non-recurring expenses (if any) and (5) adjustments to deferred taxes as a result of the enactment of tax laws (if any). These adjusted measures also remove the non-operational complexities of our structure by adding back noncontrolling interests and assuming all income of Artisan Partners Holdings is allocated to APAM. Management believes these non-GAAP measures provide more meaningful information to analyze our profitability and efficiency between periods and over time. We have included these non-GAAP measures to provide investors with the same financial metrics used by management to manage the Company.</w:t>
      </w:r>
    </w:p>
    <w:p>
      <w:pPr>
        <w:spacing w:after="0" w:line="71" w:lineRule="exact"/>
        <w:rPr>
          <w:sz w:val="20"/>
          <w:szCs w:val="20"/>
          <w:color w:val="auto"/>
        </w:rPr>
      </w:pPr>
    </w:p>
    <w:p>
      <w:pPr>
        <w:ind w:right="60"/>
        <w:spacing w:after="0" w:line="298" w:lineRule="auto"/>
        <w:rPr>
          <w:sz w:val="20"/>
          <w:szCs w:val="20"/>
          <w:color w:val="auto"/>
        </w:rPr>
      </w:pPr>
      <w:r>
        <w:rPr>
          <w:rFonts w:ascii="Times New Roman" w:cs="Times New Roman" w:eastAsia="Times New Roman" w:hAnsi="Times New Roman"/>
          <w:sz w:val="16"/>
          <w:szCs w:val="16"/>
          <w:color w:val="auto"/>
        </w:rPr>
        <w:t>Non-GAAP measures should be considered in addition to, and not as a substitute for, financial measures prepared in accordance with GAAP. Our non-GAAP measures may differ from similar measures used by other companies, even if similar terms are used to identify such measures. Our non-GAAP measures are as follows:</w:t>
      </w:r>
    </w:p>
    <w:p>
      <w:pPr>
        <w:spacing w:after="0" w:line="43" w:lineRule="exact"/>
        <w:rPr>
          <w:sz w:val="20"/>
          <w:szCs w:val="20"/>
          <w:color w:val="auto"/>
        </w:rPr>
      </w:pPr>
    </w:p>
    <w:p>
      <w:pPr>
        <w:ind w:left="660" w:hanging="328"/>
        <w:spacing w:after="0" w:line="260" w:lineRule="auto"/>
        <w:tabs>
          <w:tab w:leader="none" w:pos="649" w:val="left"/>
        </w:tabs>
        <w:numPr>
          <w:ilvl w:val="0"/>
          <w:numId w:val="2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Adjusted net income represents net income excluding the impact of (1) net gain (loss) on the tax receivable agreements (if any), (2) compensation expense (reversal) related to market valuation changes in compensation plans, (3) net investment gain (loss) of investment products, (4) non-recurring expenses (if any) and</w:t>
      </w:r>
    </w:p>
    <w:p>
      <w:pPr>
        <w:ind w:left="660" w:right="240" w:hanging="4"/>
        <w:spacing w:after="0" w:line="256" w:lineRule="auto"/>
        <w:tabs>
          <w:tab w:leader="none" w:pos="889" w:val="left"/>
        </w:tabs>
        <w:numPr>
          <w:ilvl w:val="1"/>
          <w:numId w:val="2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adjustments to deferred taxes as a result of the enactment of tax laws (if any). Adjusted net income also reflects income taxes assuming the vesting of all unvested Class A share-based awards and as if all outstanding limited partnership units of Artisan Partners Holdings had been exchanged for Class A common stock of APAM on a one-for-one basis. Assuming full vesting and exchange, all income of Artisan Partners Holdings is treated as if it were allocated to APAM, and the adjusted provision for income taxes represents an estimate of income tax expense at an effective rate reflecting APAM’s current federal, state and local income statutory tax rates. The adjusted tax rate was 24.7% for all periods presented.</w:t>
      </w:r>
    </w:p>
    <w:p>
      <w:pPr>
        <w:spacing w:after="0" w:line="90" w:lineRule="exact"/>
        <w:rPr>
          <w:rFonts w:ascii="Times New Roman" w:cs="Times New Roman" w:eastAsia="Times New Roman" w:hAnsi="Times New Roman"/>
          <w:sz w:val="16"/>
          <w:szCs w:val="16"/>
          <w:color w:val="auto"/>
        </w:rPr>
      </w:pPr>
    </w:p>
    <w:p>
      <w:pPr>
        <w:jc w:val="both"/>
        <w:ind w:left="660" w:right="20" w:hanging="328"/>
        <w:spacing w:after="0" w:line="263" w:lineRule="auto"/>
        <w:tabs>
          <w:tab w:leader="none" w:pos="649" w:val="left"/>
        </w:tabs>
        <w:numPr>
          <w:ilvl w:val="0"/>
          <w:numId w:val="2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Adjusted net income per adjusted share is calculated by dividing adjusted net income by adjusted shares. The number of adjusted shares is derived by assuming the vesting of all unvested Class A share-based awards and the exchange of all outstanding limited partnership units of Artisan Partners Holdings for Class A common stock of APAM on a one-for-one basis.</w:t>
      </w:r>
    </w:p>
    <w:p>
      <w:pPr>
        <w:spacing w:after="0" w:line="83" w:lineRule="exact"/>
        <w:rPr>
          <w:rFonts w:ascii="Times New Roman" w:cs="Times New Roman" w:eastAsia="Times New Roman" w:hAnsi="Times New Roman"/>
          <w:sz w:val="16"/>
          <w:szCs w:val="16"/>
          <w:color w:val="auto"/>
        </w:rPr>
      </w:pPr>
    </w:p>
    <w:p>
      <w:pPr>
        <w:ind w:left="660" w:right="140" w:hanging="328"/>
        <w:spacing w:after="0" w:line="280" w:lineRule="auto"/>
        <w:tabs>
          <w:tab w:leader="none" w:pos="649" w:val="left"/>
        </w:tabs>
        <w:numPr>
          <w:ilvl w:val="0"/>
          <w:numId w:val="2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Adjusted operating income represents the operating income of the consolidated company excluding compensation expense related to market valuation changes in compensation plans.</w:t>
      </w:r>
    </w:p>
    <w:p>
      <w:pPr>
        <w:spacing w:after="0" w:line="70" w:lineRule="exact"/>
        <w:rPr>
          <w:rFonts w:ascii="Times New Roman" w:cs="Times New Roman" w:eastAsia="Times New Roman" w:hAnsi="Times New Roman"/>
          <w:sz w:val="16"/>
          <w:szCs w:val="16"/>
          <w:color w:val="auto"/>
        </w:rPr>
      </w:pPr>
    </w:p>
    <w:p>
      <w:pPr>
        <w:ind w:left="640" w:hanging="308"/>
        <w:spacing w:after="0"/>
        <w:tabs>
          <w:tab w:leader="none" w:pos="640" w:val="left"/>
        </w:tabs>
        <w:numPr>
          <w:ilvl w:val="0"/>
          <w:numId w:val="2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Adjusted operating margin is calculated by dividing adjusted operating income by total revenues.</w:t>
      </w:r>
    </w:p>
    <w:p>
      <w:pPr>
        <w:spacing w:after="0" w:line="113" w:lineRule="exact"/>
        <w:rPr>
          <w:rFonts w:ascii="Times New Roman" w:cs="Times New Roman" w:eastAsia="Times New Roman" w:hAnsi="Times New Roman"/>
          <w:sz w:val="16"/>
          <w:szCs w:val="16"/>
          <w:color w:val="auto"/>
        </w:rPr>
      </w:pPr>
    </w:p>
    <w:p>
      <w:pPr>
        <w:ind w:left="640" w:hanging="308"/>
        <w:spacing w:after="0"/>
        <w:tabs>
          <w:tab w:leader="none" w:pos="640" w:val="left"/>
        </w:tabs>
        <w:numPr>
          <w:ilvl w:val="0"/>
          <w:numId w:val="2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Adjusted EBITDA represents adjusted net income before interest expense, income taxes, depreciation and amortization expense.</w:t>
      </w:r>
    </w:p>
    <w:p>
      <w:pPr>
        <w:spacing w:after="0" w:line="113" w:lineRule="exact"/>
        <w:rPr>
          <w:sz w:val="20"/>
          <w:szCs w:val="20"/>
          <w:color w:val="auto"/>
        </w:rPr>
      </w:pPr>
    </w:p>
    <w:p>
      <w:pPr>
        <w:ind w:right="560"/>
        <w:spacing w:after="0" w:line="298" w:lineRule="auto"/>
        <w:rPr>
          <w:sz w:val="20"/>
          <w:szCs w:val="20"/>
          <w:color w:val="auto"/>
        </w:rPr>
      </w:pPr>
      <w:r>
        <w:rPr>
          <w:rFonts w:ascii="Times New Roman" w:cs="Times New Roman" w:eastAsia="Times New Roman" w:hAnsi="Times New Roman"/>
          <w:sz w:val="16"/>
          <w:szCs w:val="16"/>
          <w:color w:val="auto"/>
        </w:rPr>
        <w:t>Net gain (loss) on the tax receivable agreements represents the income (expense) associated with the change in estimate of amounts payable under the tax receivable agreements entered into in connection with APAM’s initial public offering and related reorganization.</w:t>
      </w:r>
    </w:p>
    <w:p>
      <w:pPr>
        <w:spacing w:after="0" w:line="43" w:lineRule="exact"/>
        <w:rPr>
          <w:sz w:val="20"/>
          <w:szCs w:val="20"/>
          <w:color w:val="auto"/>
        </w:rPr>
      </w:pPr>
    </w:p>
    <w:p>
      <w:pPr>
        <w:ind w:right="180"/>
        <w:spacing w:after="0" w:line="263" w:lineRule="auto"/>
        <w:rPr>
          <w:sz w:val="20"/>
          <w:szCs w:val="20"/>
          <w:color w:val="auto"/>
        </w:rPr>
      </w:pPr>
      <w:r>
        <w:rPr>
          <w:rFonts w:ascii="Times New Roman" w:cs="Times New Roman" w:eastAsia="Times New Roman" w:hAnsi="Times New Roman"/>
          <w:sz w:val="16"/>
          <w:szCs w:val="16"/>
          <w:color w:val="auto"/>
        </w:rPr>
        <w:t>Compensation expense (reversal) related to market valuation changes in compensation plans represents the expense (income) associated with the change in the long-term incentive award liability resulting from investment returns of the underlying investment products. Because the compensation expense impact of the investment market exposure is economically hedged, management believes it is useful to reflect the expected net income offset in the calculation of adjusted operating income, adjusted net income, and adjusted EBITDA. The related investment gain (loss) on the underlying investments is included in the adjustment for net investment gain (loss) of investment products.</w:t>
      </w:r>
    </w:p>
    <w:p>
      <w:pPr>
        <w:spacing w:after="0" w:line="72" w:lineRule="exact"/>
        <w:rPr>
          <w:sz w:val="20"/>
          <w:szCs w:val="20"/>
          <w:color w:val="auto"/>
        </w:rPr>
      </w:pPr>
    </w:p>
    <w:p>
      <w:pPr>
        <w:spacing w:after="0" w:line="263" w:lineRule="auto"/>
        <w:rPr>
          <w:sz w:val="20"/>
          <w:szCs w:val="20"/>
          <w:color w:val="auto"/>
        </w:rPr>
      </w:pPr>
      <w:r>
        <w:rPr>
          <w:rFonts w:ascii="Times New Roman" w:cs="Times New Roman" w:eastAsia="Times New Roman" w:hAnsi="Times New Roman"/>
          <w:sz w:val="16"/>
          <w:szCs w:val="16"/>
          <w:color w:val="auto"/>
        </w:rPr>
        <w:t>Net investment gain (loss) of investment products represents the non-operating income (expense) related to the Company’s investments, in both consolidated sponsored investment products and nonconsolidated sponsored investment products, including investments in sponsored investment products held to economically hedge compensation plans. Excluding these non-operating market gains or losses on investments provides greater transparency to evaluate the profitability and efficiency of the underlying operations of the business. Interest income generated on cash and cash equivalents is considered part of normal operations, and therefore, is not excluded from adjusted net income.</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Non-recurring expenses (if any) represents non-recurring professional fees that are not reflective of core operations.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Adjustments to income tax expense as a result of the enactment of tax laws (if any) relates to the remeasurement of deferred tax assets upon enactment.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following table sets forth, for the periods indicated, a reconciliation from GAAP financial measures to non-GAAP measures:</w:t>
      </w:r>
    </w:p>
    <w:p>
      <w:pPr>
        <w:spacing w:after="0" w:line="44"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56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3460" w:type="dxa"/>
            <w:vAlign w:val="bottom"/>
            <w:tcBorders>
              <w:bottom w:val="single" w:sz="8" w:color="auto"/>
            </w:tcBorders>
            <w:gridSpan w:val="4"/>
          </w:tcPr>
          <w:p>
            <w:pPr>
              <w:jc w:val="right"/>
              <w:ind w:right="379"/>
              <w:spacing w:after="0"/>
              <w:rPr>
                <w:sz w:val="20"/>
                <w:szCs w:val="20"/>
                <w:color w:val="auto"/>
              </w:rPr>
            </w:pPr>
            <w:r>
              <w:rPr>
                <w:rFonts w:ascii="Times New Roman" w:cs="Times New Roman" w:eastAsia="Times New Roman" w:hAnsi="Times New Roman"/>
                <w:sz w:val="16"/>
                <w:szCs w:val="16"/>
                <w:b w:val="1"/>
                <w:bCs w:val="1"/>
                <w:color w:val="auto"/>
              </w:rPr>
              <w:t>For the Three Months Ended March 31,</w:t>
            </w:r>
          </w:p>
        </w:tc>
      </w:tr>
      <w:tr>
        <w:trPr>
          <w:trHeight w:val="209"/>
        </w:trPr>
        <w:tc>
          <w:tcPr>
            <w:tcW w:w="756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jc w:val="right"/>
              <w:ind w:right="659"/>
              <w:spacing w:after="0"/>
              <w:rPr>
                <w:sz w:val="20"/>
                <w:szCs w:val="20"/>
                <w:color w:val="auto"/>
              </w:rPr>
            </w:pPr>
            <w:r>
              <w:rPr>
                <w:rFonts w:ascii="Times New Roman" w:cs="Times New Roman" w:eastAsia="Times New Roman" w:hAnsi="Times New Roman"/>
                <w:sz w:val="16"/>
                <w:szCs w:val="16"/>
                <w:b w:val="1"/>
                <w:bCs w:val="1"/>
                <w:color w:val="auto"/>
              </w:rPr>
              <w:t>2026</w:t>
            </w:r>
          </w:p>
        </w:tc>
        <w:tc>
          <w:tcPr>
            <w:tcW w:w="12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ind w:right="639"/>
              <w:spacing w:after="0"/>
              <w:rPr>
                <w:sz w:val="20"/>
                <w:szCs w:val="20"/>
                <w:color w:val="auto"/>
              </w:rPr>
            </w:pPr>
            <w:r>
              <w:rPr>
                <w:rFonts w:ascii="Times New Roman" w:cs="Times New Roman" w:eastAsia="Times New Roman" w:hAnsi="Times New Roman"/>
                <w:sz w:val="16"/>
                <w:szCs w:val="16"/>
                <w:b w:val="1"/>
                <w:bCs w:val="1"/>
                <w:color w:val="auto"/>
              </w:rPr>
              <w:t>2025</w:t>
            </w:r>
          </w:p>
        </w:tc>
      </w:tr>
      <w:tr>
        <w:trPr>
          <w:trHeight w:val="467"/>
        </w:trPr>
        <w:tc>
          <w:tcPr>
            <w:tcW w:w="756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Reconciliation of non-GAAP financial measures:</w:t>
            </w:r>
          </w:p>
        </w:tc>
        <w:tc>
          <w:tcPr>
            <w:tcW w:w="220" w:type="dxa"/>
            <w:vAlign w:val="bottom"/>
          </w:tcPr>
          <w:p>
            <w:pPr>
              <w:spacing w:after="0"/>
              <w:rPr>
                <w:sz w:val="24"/>
                <w:szCs w:val="24"/>
                <w:color w:val="auto"/>
              </w:rPr>
            </w:pPr>
          </w:p>
        </w:tc>
        <w:tc>
          <w:tcPr>
            <w:tcW w:w="3460" w:type="dxa"/>
            <w:vAlign w:val="bottom"/>
            <w:gridSpan w:val="4"/>
          </w:tcPr>
          <w:p>
            <w:pPr>
              <w:jc w:val="right"/>
              <w:ind w:right="279"/>
              <w:spacing w:after="0"/>
              <w:rPr>
                <w:sz w:val="20"/>
                <w:szCs w:val="20"/>
                <w:color w:val="auto"/>
              </w:rPr>
            </w:pPr>
            <w:r>
              <w:rPr>
                <w:rFonts w:ascii="Times New Roman" w:cs="Times New Roman" w:eastAsia="Times New Roman" w:hAnsi="Times New Roman"/>
                <w:sz w:val="16"/>
                <w:szCs w:val="16"/>
                <w:color w:val="auto"/>
              </w:rPr>
              <w:t>(unaudited; in millions, except per share data)</w:t>
            </w:r>
          </w:p>
        </w:tc>
      </w:tr>
      <w:tr>
        <w:trPr>
          <w:trHeight w:val="219"/>
        </w:trPr>
        <w:tc>
          <w:tcPr>
            <w:tcW w:w="7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Net income attributable to Artisan Partners Asset Management Inc. (GAAP)</w:t>
            </w:r>
          </w:p>
        </w:tc>
        <w:tc>
          <w:tcPr>
            <w:tcW w:w="2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56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rPr>
              <w:t>58.0</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3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36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rPr>
              <w:t>61.1</w:t>
            </w:r>
          </w:p>
        </w:tc>
      </w:tr>
      <w:tr>
        <w:trPr>
          <w:trHeight w:val="213"/>
        </w:trPr>
        <w:tc>
          <w:tcPr>
            <w:tcW w:w="75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Add back: Net income attributable to noncontrolling interests - Artisan Partners Holdings</w:t>
            </w:r>
          </w:p>
        </w:tc>
        <w:tc>
          <w:tcPr>
            <w:tcW w:w="220" w:type="dxa"/>
            <w:vAlign w:val="bottom"/>
          </w:tcPr>
          <w:p>
            <w:pPr>
              <w:spacing w:after="0"/>
              <w:rPr>
                <w:sz w:val="18"/>
                <w:szCs w:val="18"/>
                <w:color w:val="auto"/>
              </w:rPr>
            </w:pPr>
          </w:p>
        </w:tc>
        <w:tc>
          <w:tcPr>
            <w:tcW w:w="156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rPr>
              <w:t>11.1</w:t>
            </w: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6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11.9</w:t>
            </w:r>
          </w:p>
        </w:tc>
      </w:tr>
      <w:tr>
        <w:trPr>
          <w:trHeight w:val="219"/>
        </w:trPr>
        <w:tc>
          <w:tcPr>
            <w:tcW w:w="7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Add back: Provision for income taxes</w:t>
            </w:r>
          </w:p>
        </w:tc>
        <w:tc>
          <w:tcPr>
            <w:tcW w:w="220" w:type="dxa"/>
            <w:vAlign w:val="bottom"/>
            <w:shd w:val="clear" w:color="auto" w:fill="CCEEFF"/>
          </w:tcPr>
          <w:p>
            <w:pPr>
              <w:spacing w:after="0"/>
              <w:rPr>
                <w:sz w:val="19"/>
                <w:szCs w:val="19"/>
                <w:color w:val="auto"/>
              </w:rPr>
            </w:pPr>
          </w:p>
        </w:tc>
        <w:tc>
          <w:tcPr>
            <w:tcW w:w="156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rPr>
              <w:t>18.8</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6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20.0</w:t>
            </w:r>
          </w:p>
        </w:tc>
      </w:tr>
      <w:tr>
        <w:trPr>
          <w:trHeight w:val="213"/>
        </w:trPr>
        <w:tc>
          <w:tcPr>
            <w:tcW w:w="75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Add back: Compensation expense (reversal) related to market valuation changes in compensation plans</w:t>
            </w:r>
          </w:p>
        </w:tc>
        <w:tc>
          <w:tcPr>
            <w:tcW w:w="220" w:type="dxa"/>
            <w:vAlign w:val="bottom"/>
          </w:tcPr>
          <w:p>
            <w:pPr>
              <w:spacing w:after="0"/>
              <w:rPr>
                <w:sz w:val="18"/>
                <w:szCs w:val="18"/>
                <w:color w:val="auto"/>
              </w:rPr>
            </w:pPr>
          </w:p>
        </w:tc>
        <w:tc>
          <w:tcPr>
            <w:tcW w:w="156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rPr>
              <w:t>0.0</w:t>
            </w: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6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2.5</w:t>
            </w:r>
          </w:p>
        </w:tc>
      </w:tr>
      <w:tr>
        <w:trPr>
          <w:trHeight w:val="219"/>
        </w:trPr>
        <w:tc>
          <w:tcPr>
            <w:tcW w:w="7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Add back: Net investment (gain) loss of investment products attributable to APAM</w:t>
            </w:r>
          </w:p>
        </w:tc>
        <w:tc>
          <w:tcPr>
            <w:tcW w:w="220" w:type="dxa"/>
            <w:vAlign w:val="bottom"/>
            <w:shd w:val="clear" w:color="auto" w:fill="CCEEFF"/>
          </w:tcPr>
          <w:p>
            <w:pPr>
              <w:spacing w:after="0"/>
              <w:rPr>
                <w:sz w:val="19"/>
                <w:szCs w:val="19"/>
                <w:color w:val="auto"/>
              </w:rPr>
            </w:pPr>
          </w:p>
        </w:tc>
        <w:tc>
          <w:tcPr>
            <w:tcW w:w="156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rPr>
              <w:t>6.1</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6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rPr>
              <w:t>(6.5)</w:t>
            </w:r>
          </w:p>
        </w:tc>
      </w:tr>
      <w:tr>
        <w:trPr>
          <w:trHeight w:val="213"/>
        </w:trPr>
        <w:tc>
          <w:tcPr>
            <w:tcW w:w="75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Less: Adjusted provision for income taxes</w:t>
            </w:r>
          </w:p>
        </w:tc>
        <w:tc>
          <w:tcPr>
            <w:tcW w:w="22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rPr>
              <w:t>23.2</w:t>
            </w:r>
          </w:p>
        </w:tc>
        <w:tc>
          <w:tcPr>
            <w:tcW w:w="12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color w:val="auto"/>
              </w:rPr>
              <w:t>22.0</w:t>
            </w:r>
          </w:p>
        </w:tc>
      </w:tr>
      <w:tr>
        <w:trPr>
          <w:trHeight w:val="212"/>
        </w:trPr>
        <w:tc>
          <w:tcPr>
            <w:tcW w:w="7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Adjusted net income (Non-GAAP)</w:t>
            </w:r>
          </w:p>
        </w:tc>
        <w:tc>
          <w:tcPr>
            <w:tcW w:w="2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56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rPr>
              <w:t>70.8</w:t>
            </w: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jc w:val="right"/>
              <w:ind w:right="23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36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rPr>
              <w:t>67.0</w:t>
            </w:r>
          </w:p>
        </w:tc>
      </w:tr>
      <w:tr>
        <w:trPr>
          <w:trHeight w:val="270"/>
        </w:trPr>
        <w:tc>
          <w:tcPr>
            <w:tcW w:w="75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5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360" w:type="dxa"/>
            <w:vAlign w:val="bottom"/>
          </w:tcPr>
          <w:p>
            <w:pPr>
              <w:spacing w:after="0"/>
              <w:rPr>
                <w:sz w:val="23"/>
                <w:szCs w:val="23"/>
                <w:color w:val="auto"/>
              </w:rPr>
            </w:pPr>
          </w:p>
        </w:tc>
      </w:tr>
      <w:tr>
        <w:trPr>
          <w:trHeight w:val="216"/>
        </w:trPr>
        <w:tc>
          <w:tcPr>
            <w:tcW w:w="7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Average shares outstanding</w:t>
            </w:r>
          </w:p>
        </w:tc>
        <w:tc>
          <w:tcPr>
            <w:tcW w:w="22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r>
      <w:tr>
        <w:trPr>
          <w:trHeight w:val="213"/>
        </w:trPr>
        <w:tc>
          <w:tcPr>
            <w:tcW w:w="75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Class A common shares</w:t>
            </w:r>
          </w:p>
        </w:tc>
        <w:tc>
          <w:tcPr>
            <w:tcW w:w="220" w:type="dxa"/>
            <w:vAlign w:val="bottom"/>
          </w:tcPr>
          <w:p>
            <w:pPr>
              <w:spacing w:after="0"/>
              <w:rPr>
                <w:sz w:val="18"/>
                <w:szCs w:val="18"/>
                <w:color w:val="auto"/>
              </w:rPr>
            </w:pPr>
          </w:p>
        </w:tc>
        <w:tc>
          <w:tcPr>
            <w:tcW w:w="156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rPr>
              <w:t>66.1</w:t>
            </w: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6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65.4</w:t>
            </w:r>
          </w:p>
        </w:tc>
      </w:tr>
      <w:tr>
        <w:trPr>
          <w:trHeight w:val="219"/>
        </w:trPr>
        <w:tc>
          <w:tcPr>
            <w:tcW w:w="7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Assumed vesting or exchange of:</w:t>
            </w:r>
          </w:p>
        </w:tc>
        <w:tc>
          <w:tcPr>
            <w:tcW w:w="22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r>
      <w:tr>
        <w:trPr>
          <w:trHeight w:val="213"/>
        </w:trPr>
        <w:tc>
          <w:tcPr>
            <w:tcW w:w="75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Unvested Class A restricted share-based awards</w:t>
            </w:r>
          </w:p>
        </w:tc>
        <w:tc>
          <w:tcPr>
            <w:tcW w:w="220" w:type="dxa"/>
            <w:vAlign w:val="bottom"/>
          </w:tcPr>
          <w:p>
            <w:pPr>
              <w:spacing w:after="0"/>
              <w:rPr>
                <w:sz w:val="18"/>
                <w:szCs w:val="18"/>
                <w:color w:val="auto"/>
              </w:rPr>
            </w:pPr>
          </w:p>
        </w:tc>
        <w:tc>
          <w:tcPr>
            <w:tcW w:w="156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rPr>
              <w:t>5.1</w:t>
            </w: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6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5.4</w:t>
            </w:r>
          </w:p>
        </w:tc>
      </w:tr>
      <w:tr>
        <w:trPr>
          <w:trHeight w:val="219"/>
        </w:trPr>
        <w:tc>
          <w:tcPr>
            <w:tcW w:w="75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Artisan Partners Holdings units outstanding (noncontrolling interests)</w:t>
            </w:r>
          </w:p>
        </w:tc>
        <w:tc>
          <w:tcPr>
            <w:tcW w:w="22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rPr>
              <w:t>10.1</w:t>
            </w:r>
          </w:p>
        </w:tc>
        <w:tc>
          <w:tcPr>
            <w:tcW w:w="12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10.3</w:t>
            </w:r>
          </w:p>
        </w:tc>
      </w:tr>
      <w:tr>
        <w:trPr>
          <w:trHeight w:val="208"/>
        </w:trPr>
        <w:tc>
          <w:tcPr>
            <w:tcW w:w="756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Adjusted shares</w:t>
            </w:r>
          </w:p>
        </w:tc>
        <w:tc>
          <w:tcPr>
            <w:tcW w:w="220" w:type="dxa"/>
            <w:vAlign w:val="bottom"/>
          </w:tcPr>
          <w:p>
            <w:pPr>
              <w:spacing w:after="0"/>
              <w:rPr>
                <w:sz w:val="18"/>
                <w:szCs w:val="18"/>
                <w:color w:val="auto"/>
              </w:rPr>
            </w:pPr>
          </w:p>
        </w:tc>
        <w:tc>
          <w:tcPr>
            <w:tcW w:w="1560" w:type="dxa"/>
            <w:vAlign w:val="bottom"/>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rPr>
              <w:t>81.3</w:t>
            </w: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60" w:type="dxa"/>
            <w:vAlign w:val="bottom"/>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rPr>
              <w:t>81.1</w:t>
            </w:r>
          </w:p>
        </w:tc>
      </w:tr>
      <w:tr>
        <w:trPr>
          <w:trHeight w:val="272"/>
        </w:trPr>
        <w:tc>
          <w:tcPr>
            <w:tcW w:w="756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5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1360" w:type="dxa"/>
            <w:vAlign w:val="bottom"/>
            <w:shd w:val="clear" w:color="auto" w:fill="CCEEFF"/>
          </w:tcPr>
          <w:p>
            <w:pPr>
              <w:spacing w:after="0"/>
              <w:rPr>
                <w:sz w:val="23"/>
                <w:szCs w:val="23"/>
                <w:color w:val="auto"/>
              </w:rPr>
            </w:pPr>
          </w:p>
        </w:tc>
      </w:tr>
      <w:tr>
        <w:trPr>
          <w:trHeight w:val="214"/>
        </w:trPr>
        <w:tc>
          <w:tcPr>
            <w:tcW w:w="756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Basic earnings per share (GAAP)</w:t>
            </w:r>
          </w:p>
        </w:tc>
        <w:tc>
          <w:tcPr>
            <w:tcW w:w="220" w:type="dxa"/>
            <w:vAlign w:val="bottom"/>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560" w:type="dxa"/>
            <w:vAlign w:val="bottom"/>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rPr>
              <w:t>0.76</w:t>
            </w:r>
          </w:p>
        </w:tc>
        <w:tc>
          <w:tcPr>
            <w:tcW w:w="120" w:type="dxa"/>
            <w:vAlign w:val="bottom"/>
          </w:tcPr>
          <w:p>
            <w:pPr>
              <w:spacing w:after="0"/>
              <w:rPr>
                <w:sz w:val="18"/>
                <w:szCs w:val="18"/>
                <w:color w:val="auto"/>
              </w:rPr>
            </w:pPr>
          </w:p>
        </w:tc>
        <w:tc>
          <w:tcPr>
            <w:tcW w:w="420" w:type="dxa"/>
            <w:vAlign w:val="bottom"/>
          </w:tcPr>
          <w:p>
            <w:pPr>
              <w:jc w:val="right"/>
              <w:ind w:right="23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360" w:type="dxa"/>
            <w:vAlign w:val="bottom"/>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rPr>
              <w:t>0.82</w:t>
            </w:r>
          </w:p>
        </w:tc>
      </w:tr>
      <w:tr>
        <w:trPr>
          <w:trHeight w:val="218"/>
        </w:trPr>
        <w:tc>
          <w:tcPr>
            <w:tcW w:w="7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Diluted earnings per share (GAAP)</w:t>
            </w:r>
          </w:p>
        </w:tc>
        <w:tc>
          <w:tcPr>
            <w:tcW w:w="2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56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rPr>
              <w:t>0.76</w:t>
            </w: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jc w:val="right"/>
              <w:ind w:right="23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36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rPr>
              <w:t>0.82</w:t>
            </w:r>
          </w:p>
        </w:tc>
      </w:tr>
      <w:tr>
        <w:trPr>
          <w:trHeight w:val="214"/>
        </w:trPr>
        <w:tc>
          <w:tcPr>
            <w:tcW w:w="756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Adjusted net income per adjusted share (Non-GAAP)</w:t>
            </w:r>
          </w:p>
        </w:tc>
        <w:tc>
          <w:tcPr>
            <w:tcW w:w="220" w:type="dxa"/>
            <w:vAlign w:val="bottom"/>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560" w:type="dxa"/>
            <w:vAlign w:val="bottom"/>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rPr>
              <w:t>0.87</w:t>
            </w:r>
          </w:p>
        </w:tc>
        <w:tc>
          <w:tcPr>
            <w:tcW w:w="120" w:type="dxa"/>
            <w:vAlign w:val="bottom"/>
          </w:tcPr>
          <w:p>
            <w:pPr>
              <w:spacing w:after="0"/>
              <w:rPr>
                <w:sz w:val="18"/>
                <w:szCs w:val="18"/>
                <w:color w:val="auto"/>
              </w:rPr>
            </w:pPr>
          </w:p>
        </w:tc>
        <w:tc>
          <w:tcPr>
            <w:tcW w:w="420" w:type="dxa"/>
            <w:vAlign w:val="bottom"/>
          </w:tcPr>
          <w:p>
            <w:pPr>
              <w:jc w:val="right"/>
              <w:ind w:right="23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360" w:type="dxa"/>
            <w:vAlign w:val="bottom"/>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rPr>
              <w:t>0.83</w:t>
            </w:r>
          </w:p>
        </w:tc>
      </w:tr>
      <w:tr>
        <w:trPr>
          <w:trHeight w:val="272"/>
        </w:trPr>
        <w:tc>
          <w:tcPr>
            <w:tcW w:w="756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5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1360" w:type="dxa"/>
            <w:vAlign w:val="bottom"/>
            <w:shd w:val="clear" w:color="auto" w:fill="CCEEFF"/>
          </w:tcPr>
          <w:p>
            <w:pPr>
              <w:spacing w:after="0"/>
              <w:rPr>
                <w:sz w:val="23"/>
                <w:szCs w:val="23"/>
                <w:color w:val="auto"/>
              </w:rPr>
            </w:pPr>
          </w:p>
        </w:tc>
      </w:tr>
      <w:tr>
        <w:trPr>
          <w:trHeight w:val="214"/>
        </w:trPr>
        <w:tc>
          <w:tcPr>
            <w:tcW w:w="756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Operating income (GAAP)</w:t>
            </w:r>
          </w:p>
        </w:tc>
        <w:tc>
          <w:tcPr>
            <w:tcW w:w="220" w:type="dxa"/>
            <w:vAlign w:val="bottom"/>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560" w:type="dxa"/>
            <w:vAlign w:val="bottom"/>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rPr>
              <w:t>94.2</w:t>
            </w:r>
          </w:p>
        </w:tc>
        <w:tc>
          <w:tcPr>
            <w:tcW w:w="120" w:type="dxa"/>
            <w:vAlign w:val="bottom"/>
          </w:tcPr>
          <w:p>
            <w:pPr>
              <w:spacing w:after="0"/>
              <w:rPr>
                <w:sz w:val="18"/>
                <w:szCs w:val="18"/>
                <w:color w:val="auto"/>
              </w:rPr>
            </w:pPr>
          </w:p>
        </w:tc>
        <w:tc>
          <w:tcPr>
            <w:tcW w:w="420" w:type="dxa"/>
            <w:vAlign w:val="bottom"/>
          </w:tcPr>
          <w:p>
            <w:pPr>
              <w:jc w:val="right"/>
              <w:ind w:right="23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360" w:type="dxa"/>
            <w:vAlign w:val="bottom"/>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rPr>
              <w:t>86.5</w:t>
            </w:r>
          </w:p>
        </w:tc>
      </w:tr>
      <w:tr>
        <w:trPr>
          <w:trHeight w:val="218"/>
        </w:trPr>
        <w:tc>
          <w:tcPr>
            <w:tcW w:w="7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Add back: Compensation expense (reversal) related to market valuation changes in compensation plans</w:t>
            </w:r>
          </w:p>
        </w:tc>
        <w:tc>
          <w:tcPr>
            <w:tcW w:w="22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shd w:val="clear" w:color="auto" w:fill="CCEEFF"/>
          </w:tcPr>
          <w:p>
            <w:pPr>
              <w:spacing w:after="0"/>
              <w:rPr>
                <w:sz w:val="18"/>
                <w:szCs w:val="18"/>
                <w:color w:val="auto"/>
              </w:rPr>
            </w:pPr>
          </w:p>
        </w:tc>
        <w:tc>
          <w:tcPr>
            <w:tcW w:w="136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2.5</w:t>
            </w:r>
          </w:p>
        </w:tc>
      </w:tr>
      <w:tr>
        <w:trPr>
          <w:trHeight w:val="208"/>
        </w:trPr>
        <w:tc>
          <w:tcPr>
            <w:tcW w:w="756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Adjusted operating income (Non-GAAP)</w:t>
            </w:r>
          </w:p>
        </w:tc>
        <w:tc>
          <w:tcPr>
            <w:tcW w:w="220" w:type="dxa"/>
            <w:vAlign w:val="bottom"/>
            <w:tcBorders>
              <w:top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560" w:type="dxa"/>
            <w:vAlign w:val="bottom"/>
            <w:tcBorders>
              <w:top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rPr>
              <w:t>94.2</w:t>
            </w:r>
          </w:p>
        </w:tc>
        <w:tc>
          <w:tcPr>
            <w:tcW w:w="120" w:type="dxa"/>
            <w:vAlign w:val="bottom"/>
          </w:tcPr>
          <w:p>
            <w:pPr>
              <w:spacing w:after="0"/>
              <w:rPr>
                <w:sz w:val="18"/>
                <w:szCs w:val="18"/>
                <w:color w:val="auto"/>
              </w:rPr>
            </w:pPr>
          </w:p>
        </w:tc>
        <w:tc>
          <w:tcPr>
            <w:tcW w:w="420" w:type="dxa"/>
            <w:vAlign w:val="bottom"/>
            <w:tcBorders>
              <w:top w:val="single" w:sz="8" w:color="auto"/>
            </w:tcBorders>
          </w:tcPr>
          <w:p>
            <w:pPr>
              <w:jc w:val="right"/>
              <w:ind w:right="23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360" w:type="dxa"/>
            <w:vAlign w:val="bottom"/>
            <w:tcBorders>
              <w:top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rPr>
              <w:t>89.0</w:t>
            </w:r>
          </w:p>
        </w:tc>
      </w:tr>
      <w:tr>
        <w:trPr>
          <w:trHeight w:val="272"/>
        </w:trPr>
        <w:tc>
          <w:tcPr>
            <w:tcW w:w="756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5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1360" w:type="dxa"/>
            <w:vAlign w:val="bottom"/>
            <w:shd w:val="clear" w:color="auto" w:fill="CCEEFF"/>
          </w:tcPr>
          <w:p>
            <w:pPr>
              <w:spacing w:after="0"/>
              <w:rPr>
                <w:sz w:val="23"/>
                <w:szCs w:val="23"/>
                <w:color w:val="auto"/>
              </w:rPr>
            </w:pPr>
          </w:p>
        </w:tc>
      </w:tr>
      <w:tr>
        <w:trPr>
          <w:trHeight w:val="214"/>
        </w:trPr>
        <w:tc>
          <w:tcPr>
            <w:tcW w:w="756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Operating margin (GAAP)</w:t>
            </w:r>
          </w:p>
        </w:tc>
        <w:tc>
          <w:tcPr>
            <w:tcW w:w="22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31.1 %</w:t>
            </w: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31.2 %</w:t>
            </w:r>
          </w:p>
        </w:tc>
      </w:tr>
      <w:tr>
        <w:trPr>
          <w:trHeight w:val="218"/>
        </w:trPr>
        <w:tc>
          <w:tcPr>
            <w:tcW w:w="7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Adjusted operating margin (Non-GAAP)</w:t>
            </w:r>
          </w:p>
        </w:tc>
        <w:tc>
          <w:tcPr>
            <w:tcW w:w="220" w:type="dxa"/>
            <w:vAlign w:val="bottom"/>
            <w:shd w:val="clear" w:color="auto" w:fill="CCEEFF"/>
          </w:tcPr>
          <w:p>
            <w:pPr>
              <w:spacing w:after="0"/>
              <w:rPr>
                <w:sz w:val="18"/>
                <w:szCs w:val="18"/>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31.1 %</w:t>
            </w: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32.1 %</w:t>
            </w:r>
          </w:p>
        </w:tc>
      </w:tr>
      <w:tr>
        <w:trPr>
          <w:trHeight w:val="270"/>
        </w:trPr>
        <w:tc>
          <w:tcPr>
            <w:tcW w:w="75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5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360" w:type="dxa"/>
            <w:vAlign w:val="bottom"/>
          </w:tcPr>
          <w:p>
            <w:pPr>
              <w:spacing w:after="0"/>
              <w:rPr>
                <w:sz w:val="23"/>
                <w:szCs w:val="23"/>
                <w:color w:val="auto"/>
              </w:rPr>
            </w:pPr>
          </w:p>
        </w:tc>
      </w:tr>
      <w:tr>
        <w:trPr>
          <w:trHeight w:val="216"/>
        </w:trPr>
        <w:tc>
          <w:tcPr>
            <w:tcW w:w="7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Net income attributable to Artisan Partners Asset Management Inc. (GAAP)</w:t>
            </w:r>
          </w:p>
        </w:tc>
        <w:tc>
          <w:tcPr>
            <w:tcW w:w="2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56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rPr>
              <w:t>58.0</w:t>
            </w: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jc w:val="right"/>
              <w:ind w:right="23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36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rPr>
              <w:t>61.1</w:t>
            </w:r>
          </w:p>
        </w:tc>
      </w:tr>
      <w:tr>
        <w:trPr>
          <w:trHeight w:val="213"/>
        </w:trPr>
        <w:tc>
          <w:tcPr>
            <w:tcW w:w="75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Add back: Net income attributable to noncontrolling interests - Artisan Partners Holdings</w:t>
            </w:r>
          </w:p>
        </w:tc>
        <w:tc>
          <w:tcPr>
            <w:tcW w:w="220" w:type="dxa"/>
            <w:vAlign w:val="bottom"/>
          </w:tcPr>
          <w:p>
            <w:pPr>
              <w:spacing w:after="0"/>
              <w:rPr>
                <w:sz w:val="18"/>
                <w:szCs w:val="18"/>
                <w:color w:val="auto"/>
              </w:rPr>
            </w:pPr>
          </w:p>
        </w:tc>
        <w:tc>
          <w:tcPr>
            <w:tcW w:w="156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rPr>
              <w:t>11.1</w:t>
            </w: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6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11.9</w:t>
            </w:r>
          </w:p>
        </w:tc>
      </w:tr>
      <w:tr>
        <w:trPr>
          <w:trHeight w:val="219"/>
        </w:trPr>
        <w:tc>
          <w:tcPr>
            <w:tcW w:w="7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Add back: Compensation expense (reversal) related to market valuation changes in compensation plans</w:t>
            </w:r>
          </w:p>
        </w:tc>
        <w:tc>
          <w:tcPr>
            <w:tcW w:w="220" w:type="dxa"/>
            <w:vAlign w:val="bottom"/>
            <w:shd w:val="clear" w:color="auto" w:fill="CCEEFF"/>
          </w:tcPr>
          <w:p>
            <w:pPr>
              <w:spacing w:after="0"/>
              <w:rPr>
                <w:sz w:val="19"/>
                <w:szCs w:val="19"/>
                <w:color w:val="auto"/>
              </w:rPr>
            </w:pPr>
          </w:p>
        </w:tc>
        <w:tc>
          <w:tcPr>
            <w:tcW w:w="156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rPr>
              <w:t>0.0</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6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2.5</w:t>
            </w:r>
          </w:p>
        </w:tc>
      </w:tr>
      <w:tr>
        <w:trPr>
          <w:trHeight w:val="213"/>
        </w:trPr>
        <w:tc>
          <w:tcPr>
            <w:tcW w:w="75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Add back: Net investment (gain) loss of investment products attributable to APAM</w:t>
            </w:r>
          </w:p>
        </w:tc>
        <w:tc>
          <w:tcPr>
            <w:tcW w:w="220" w:type="dxa"/>
            <w:vAlign w:val="bottom"/>
          </w:tcPr>
          <w:p>
            <w:pPr>
              <w:spacing w:after="0"/>
              <w:rPr>
                <w:sz w:val="18"/>
                <w:szCs w:val="18"/>
                <w:color w:val="auto"/>
              </w:rPr>
            </w:pPr>
          </w:p>
        </w:tc>
        <w:tc>
          <w:tcPr>
            <w:tcW w:w="156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rPr>
              <w:t>6.1</w:t>
            </w: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6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(6.5)</w:t>
            </w:r>
          </w:p>
        </w:tc>
      </w:tr>
      <w:tr>
        <w:trPr>
          <w:trHeight w:val="219"/>
        </w:trPr>
        <w:tc>
          <w:tcPr>
            <w:tcW w:w="7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Add back: Interest expense</w:t>
            </w:r>
          </w:p>
        </w:tc>
        <w:tc>
          <w:tcPr>
            <w:tcW w:w="220" w:type="dxa"/>
            <w:vAlign w:val="bottom"/>
            <w:shd w:val="clear" w:color="auto" w:fill="CCEEFF"/>
          </w:tcPr>
          <w:p>
            <w:pPr>
              <w:spacing w:after="0"/>
              <w:rPr>
                <w:sz w:val="19"/>
                <w:szCs w:val="19"/>
                <w:color w:val="auto"/>
              </w:rPr>
            </w:pPr>
          </w:p>
        </w:tc>
        <w:tc>
          <w:tcPr>
            <w:tcW w:w="156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rPr>
              <w:t>2.1</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6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2.1</w:t>
            </w:r>
          </w:p>
        </w:tc>
      </w:tr>
      <w:tr>
        <w:trPr>
          <w:trHeight w:val="213"/>
        </w:trPr>
        <w:tc>
          <w:tcPr>
            <w:tcW w:w="75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Add back: Provision for income taxes</w:t>
            </w:r>
          </w:p>
        </w:tc>
        <w:tc>
          <w:tcPr>
            <w:tcW w:w="220" w:type="dxa"/>
            <w:vAlign w:val="bottom"/>
          </w:tcPr>
          <w:p>
            <w:pPr>
              <w:spacing w:after="0"/>
              <w:rPr>
                <w:sz w:val="18"/>
                <w:szCs w:val="18"/>
                <w:color w:val="auto"/>
              </w:rPr>
            </w:pPr>
          </w:p>
        </w:tc>
        <w:tc>
          <w:tcPr>
            <w:tcW w:w="156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rPr>
              <w:t>18.8</w:t>
            </w: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6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20.0</w:t>
            </w:r>
          </w:p>
        </w:tc>
      </w:tr>
      <w:tr>
        <w:trPr>
          <w:trHeight w:val="219"/>
        </w:trPr>
        <w:tc>
          <w:tcPr>
            <w:tcW w:w="7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Add back: Depreciation and amortization</w:t>
            </w:r>
          </w:p>
        </w:tc>
        <w:tc>
          <w:tcPr>
            <w:tcW w:w="22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rPr>
              <w:t>2.3</w:t>
            </w:r>
          </w:p>
        </w:tc>
        <w:tc>
          <w:tcPr>
            <w:tcW w:w="12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2.5</w:t>
            </w:r>
          </w:p>
        </w:tc>
      </w:tr>
      <w:tr>
        <w:trPr>
          <w:trHeight w:val="206"/>
        </w:trPr>
        <w:tc>
          <w:tcPr>
            <w:tcW w:w="756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Adjusted EBITDA (Non-GAAP)</w:t>
            </w:r>
          </w:p>
        </w:tc>
        <w:tc>
          <w:tcPr>
            <w:tcW w:w="220" w:type="dxa"/>
            <w:vAlign w:val="bottom"/>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560" w:type="dxa"/>
            <w:vAlign w:val="bottom"/>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rPr>
              <w:t>98.4</w:t>
            </w:r>
          </w:p>
        </w:tc>
        <w:tc>
          <w:tcPr>
            <w:tcW w:w="120" w:type="dxa"/>
            <w:vAlign w:val="bottom"/>
          </w:tcPr>
          <w:p>
            <w:pPr>
              <w:spacing w:after="0"/>
              <w:rPr>
                <w:sz w:val="17"/>
                <w:szCs w:val="17"/>
                <w:color w:val="auto"/>
              </w:rPr>
            </w:pPr>
          </w:p>
        </w:tc>
        <w:tc>
          <w:tcPr>
            <w:tcW w:w="420" w:type="dxa"/>
            <w:vAlign w:val="bottom"/>
          </w:tcPr>
          <w:p>
            <w:pPr>
              <w:jc w:val="right"/>
              <w:ind w:right="23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360" w:type="dxa"/>
            <w:vAlign w:val="bottom"/>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rPr>
              <w:t>93.6</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Liquidity and Capital Resources</w:t>
      </w:r>
    </w:p>
    <w:p>
      <w:pPr>
        <w:spacing w:after="0" w:line="115" w:lineRule="exact"/>
        <w:rPr>
          <w:sz w:val="20"/>
          <w:szCs w:val="20"/>
          <w:color w:val="auto"/>
        </w:rPr>
      </w:pPr>
    </w:p>
    <w:p>
      <w:pPr>
        <w:ind w:right="140"/>
        <w:spacing w:after="0" w:line="263" w:lineRule="auto"/>
        <w:rPr>
          <w:sz w:val="20"/>
          <w:szCs w:val="20"/>
          <w:color w:val="auto"/>
        </w:rPr>
      </w:pPr>
      <w:r>
        <w:rPr>
          <w:rFonts w:ascii="Times New Roman" w:cs="Times New Roman" w:eastAsia="Times New Roman" w:hAnsi="Times New Roman"/>
          <w:sz w:val="16"/>
          <w:szCs w:val="16"/>
          <w:color w:val="auto"/>
        </w:rPr>
        <w:t>Our working capital needs, including accrued incentive compensation payments, have been and are expected to be met primarily through cash generated by our operations. The assets and liabilities of consolidated investment products attributable to third-party investors do not impact our liquidity and capital resources. We have no right to the benefits from, nor do we bear the risks associated with, the assets and liabilities of consolidated investment products, beyond our direct equity investment and any investment advisory fees earned. Accordingly, assets and liabilities of consolidated investment products attributable to third-party investors are excluded from the amounts and discussions below. The following table shows our liquidity position as of March 31, 2026 and December 31, 2025:</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36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tcPr>
          <w:p>
            <w:pPr>
              <w:jc w:val="right"/>
              <w:ind w:right="319"/>
              <w:spacing w:after="0"/>
              <w:rPr>
                <w:sz w:val="20"/>
                <w:szCs w:val="20"/>
                <w:color w:val="auto"/>
              </w:rPr>
            </w:pPr>
            <w:r>
              <w:rPr>
                <w:rFonts w:ascii="Times New Roman" w:cs="Times New Roman" w:eastAsia="Times New Roman" w:hAnsi="Times New Roman"/>
                <w:sz w:val="16"/>
                <w:szCs w:val="16"/>
                <w:b w:val="1"/>
                <w:bCs w:val="1"/>
                <w:color w:val="auto"/>
              </w:rPr>
              <w:t>March 31, 2026</w:t>
            </w:r>
          </w:p>
        </w:tc>
        <w:tc>
          <w:tcPr>
            <w:tcW w:w="1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680" w:type="dxa"/>
            <w:vAlign w:val="bottom"/>
            <w:tcBorders>
              <w:bottom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rPr>
              <w:t>December 31, 2025</w:t>
            </w:r>
          </w:p>
        </w:tc>
      </w:tr>
      <w:tr>
        <w:trPr>
          <w:trHeight w:val="250"/>
        </w:trPr>
        <w:tc>
          <w:tcPr>
            <w:tcW w:w="73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3620" w:type="dxa"/>
            <w:vAlign w:val="bottom"/>
            <w:gridSpan w:val="4"/>
          </w:tcPr>
          <w:p>
            <w:pPr>
              <w:jc w:val="right"/>
              <w:ind w:right="1099"/>
              <w:spacing w:after="0"/>
              <w:rPr>
                <w:sz w:val="20"/>
                <w:szCs w:val="20"/>
                <w:color w:val="auto"/>
              </w:rPr>
            </w:pPr>
            <w:r>
              <w:rPr>
                <w:rFonts w:ascii="Times New Roman" w:cs="Times New Roman" w:eastAsia="Times New Roman" w:hAnsi="Times New Roman"/>
                <w:sz w:val="16"/>
                <w:szCs w:val="16"/>
                <w:color w:val="auto"/>
              </w:rPr>
              <w:t>(unaudited; in millions)</w:t>
            </w:r>
          </w:p>
        </w:tc>
      </w:tr>
      <w:tr>
        <w:trPr>
          <w:trHeight w:val="219"/>
        </w:trPr>
        <w:tc>
          <w:tcPr>
            <w:tcW w:w="7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271.1</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214.4</w:t>
            </w:r>
          </w:p>
        </w:tc>
      </w:tr>
      <w:tr>
        <w:trPr>
          <w:trHeight w:val="213"/>
        </w:trPr>
        <w:tc>
          <w:tcPr>
            <w:tcW w:w="73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Accounts receivable</w:t>
            </w:r>
          </w:p>
        </w:tc>
        <w:tc>
          <w:tcPr>
            <w:tcW w:w="26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140.2</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154.5</w:t>
            </w:r>
          </w:p>
        </w:tc>
      </w:tr>
      <w:tr>
        <w:trPr>
          <w:trHeight w:val="219"/>
        </w:trPr>
        <w:tc>
          <w:tcPr>
            <w:tcW w:w="7360" w:type="dxa"/>
            <w:vAlign w:val="bottom"/>
            <w:shd w:val="clear" w:color="auto" w:fill="CCEEFF"/>
          </w:tcPr>
          <w:p>
            <w:pPr>
              <w:ind w:left="20"/>
              <w:spacing w:after="0" w:line="219" w:lineRule="exact"/>
              <w:rPr>
                <w:sz w:val="20"/>
                <w:szCs w:val="20"/>
                <w:color w:val="auto"/>
              </w:rPr>
            </w:pPr>
            <w:r>
              <w:rPr>
                <w:rFonts w:ascii="Times New Roman" w:cs="Times New Roman" w:eastAsia="Times New Roman" w:hAnsi="Times New Roman"/>
                <w:sz w:val="16"/>
                <w:szCs w:val="16"/>
                <w:color w:val="auto"/>
              </w:rPr>
              <w:t xml:space="preserve">Seed investments </w:t>
            </w:r>
            <w:r>
              <w:rPr>
                <w:rFonts w:ascii="Times New Roman" w:cs="Times New Roman" w:eastAsia="Times New Roman" w:hAnsi="Times New Roman"/>
                <w:sz w:val="21"/>
                <w:szCs w:val="21"/>
                <w:color w:val="auto"/>
                <w:vertAlign w:val="superscript"/>
              </w:rPr>
              <w:t>(1)</w:t>
            </w:r>
          </w:p>
        </w:tc>
        <w:tc>
          <w:tcPr>
            <w:tcW w:w="26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109.9</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151.6</w:t>
            </w:r>
          </w:p>
        </w:tc>
      </w:tr>
      <w:tr>
        <w:trPr>
          <w:trHeight w:val="210"/>
        </w:trPr>
        <w:tc>
          <w:tcPr>
            <w:tcW w:w="73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Undrawn commitment on revolving credit facility</w:t>
            </w:r>
          </w:p>
        </w:tc>
        <w:tc>
          <w:tcPr>
            <w:tcW w:w="26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100.0</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100.0</w:t>
            </w:r>
          </w:p>
        </w:tc>
      </w:tr>
    </w:tbl>
    <w:p>
      <w:pPr>
        <w:ind w:left="20" w:right="300" w:firstLine="6"/>
        <w:spacing w:after="0" w:line="256" w:lineRule="auto"/>
        <w:tabs>
          <w:tab w:leader="none" w:pos="152" w:val="left"/>
        </w:tabs>
        <w:numPr>
          <w:ilvl w:val="0"/>
          <w:numId w:val="28"/>
        </w:numPr>
        <w:rPr>
          <w:rFonts w:ascii="Times New Roman" w:cs="Times New Roman" w:eastAsia="Times New Roman" w:hAnsi="Times New Roman"/>
          <w:sz w:val="9"/>
          <w:szCs w:val="9"/>
          <w:color w:val="auto"/>
        </w:rPr>
      </w:pPr>
      <w:r>
        <w:rPr>
          <w:rFonts w:ascii="Times New Roman" w:cs="Times New Roman" w:eastAsia="Times New Roman" w:hAnsi="Times New Roman"/>
          <w:sz w:val="14"/>
          <w:szCs w:val="14"/>
          <w:color w:val="auto"/>
        </w:rPr>
        <w:t>Seed investments include Artisan’s direct equity investments in consolidated and nonconsolidated Artisan-sponsored investment products. The balance excludes $255.0 million and $219.4 million of hedge investments made related to long-term incentive compensation plans as of March 31, 2026 and December 31, 2025, respectively.</w:t>
      </w:r>
    </w:p>
    <w:p>
      <w:pPr>
        <w:spacing w:after="0" w:line="188" w:lineRule="exact"/>
        <w:rPr>
          <w:sz w:val="20"/>
          <w:szCs w:val="20"/>
          <w:color w:val="auto"/>
        </w:rPr>
      </w:pPr>
    </w:p>
    <w:p>
      <w:pPr>
        <w:jc w:val="both"/>
        <w:ind w:right="260"/>
        <w:spacing w:after="0" w:line="272" w:lineRule="auto"/>
        <w:rPr>
          <w:sz w:val="20"/>
          <w:szCs w:val="20"/>
          <w:color w:val="auto"/>
        </w:rPr>
      </w:pPr>
      <w:r>
        <w:rPr>
          <w:rFonts w:ascii="Times New Roman" w:cs="Times New Roman" w:eastAsia="Times New Roman" w:hAnsi="Times New Roman"/>
          <w:sz w:val="16"/>
          <w:szCs w:val="16"/>
          <w:color w:val="auto"/>
        </w:rPr>
        <w:t>We manage our cash balances in order to fund our day-to-day operations. We mitigate concentration risk through the diversification of financial institutions holding daily operating cash balances and by investing excess operating cash in various money market funds. $243.1 million of our cash and cash equivalents balance was invested in money market funds as of March 31, 2026.</w:t>
      </w:r>
    </w:p>
    <w:p>
      <w:pPr>
        <w:spacing w:after="0" w:line="63" w:lineRule="exact"/>
        <w:rPr>
          <w:sz w:val="20"/>
          <w:szCs w:val="20"/>
          <w:color w:val="auto"/>
        </w:rPr>
      </w:pPr>
    </w:p>
    <w:p>
      <w:pPr>
        <w:ind w:right="140"/>
        <w:spacing w:after="0" w:line="298" w:lineRule="auto"/>
        <w:rPr>
          <w:sz w:val="20"/>
          <w:szCs w:val="20"/>
          <w:color w:val="auto"/>
        </w:rPr>
      </w:pPr>
      <w:r>
        <w:rPr>
          <w:rFonts w:ascii="Times New Roman" w:cs="Times New Roman" w:eastAsia="Times New Roman" w:hAnsi="Times New Roman"/>
          <w:sz w:val="16"/>
          <w:szCs w:val="16"/>
          <w:color w:val="auto"/>
        </w:rPr>
        <w:t>Accounts receivable primarily represent investment advisory fees that have been earned, but not yet received from our clients. We perform a review of our receivables on a monthly basis to assess collectability. As of March 31, 2026, none of our receivables were considered uncollectible.</w:t>
      </w:r>
    </w:p>
    <w:p>
      <w:pPr>
        <w:spacing w:after="0" w:line="43" w:lineRule="exact"/>
        <w:rPr>
          <w:sz w:val="20"/>
          <w:szCs w:val="20"/>
          <w:color w:val="auto"/>
        </w:rPr>
      </w:pPr>
    </w:p>
    <w:p>
      <w:pPr>
        <w:ind w:right="60"/>
        <w:spacing w:after="0" w:line="263" w:lineRule="auto"/>
        <w:rPr>
          <w:sz w:val="20"/>
          <w:szCs w:val="20"/>
          <w:color w:val="auto"/>
        </w:rPr>
      </w:pPr>
      <w:r>
        <w:rPr>
          <w:rFonts w:ascii="Times New Roman" w:cs="Times New Roman" w:eastAsia="Times New Roman" w:hAnsi="Times New Roman"/>
          <w:sz w:val="16"/>
          <w:szCs w:val="16"/>
          <w:color w:val="auto"/>
        </w:rPr>
        <w:t>We utilize cash to make seed investments in Artisan-sponsored investment products to support the development of new investment strategies and vehicles. As of March 31, 2026, the balance of all seed investments, including investments in consolidated investment products, was $109.9 million. The seed investments are generally redeemable at our discretion, though subject to certain monthly or quarterly timing restrictions for certain Artisan Private Funds. We monitor for opportunities to redeem our seed investments as sufficient scale in each investment strategy, vehicle and class, as applicable, is achieved.</w:t>
      </w:r>
    </w:p>
    <w:p>
      <w:pPr>
        <w:spacing w:after="0" w:line="85" w:lineRule="exact"/>
        <w:rPr>
          <w:sz w:val="20"/>
          <w:szCs w:val="20"/>
          <w:color w:val="auto"/>
        </w:rPr>
      </w:pPr>
    </w:p>
    <w:p>
      <w:pPr>
        <w:ind w:right="20"/>
        <w:spacing w:after="0" w:line="280" w:lineRule="auto"/>
        <w:rPr>
          <w:sz w:val="20"/>
          <w:szCs w:val="20"/>
          <w:color w:val="auto"/>
        </w:rPr>
      </w:pPr>
      <w:r>
        <w:rPr>
          <w:rFonts w:ascii="Times New Roman" w:cs="Times New Roman" w:eastAsia="Times New Roman" w:hAnsi="Times New Roman"/>
          <w:sz w:val="16"/>
          <w:szCs w:val="16"/>
          <w:color w:val="auto"/>
        </w:rPr>
        <w:t>During the three months ended March 31, 2026, we made investments of $50.6 million related to funded long-term incentive compensation plans. As of March 31, 2026, the value of investments held in connection with funded long-term incentive compensation plans was $255.0 million.</w:t>
      </w:r>
    </w:p>
    <w:p>
      <w:pPr>
        <w:spacing w:after="0" w:line="57" w:lineRule="exact"/>
        <w:rPr>
          <w:sz w:val="20"/>
          <w:szCs w:val="20"/>
          <w:color w:val="auto"/>
        </w:rPr>
      </w:pPr>
    </w:p>
    <w:p>
      <w:pPr>
        <w:ind w:right="100"/>
        <w:spacing w:after="0" w:line="298" w:lineRule="auto"/>
        <w:rPr>
          <w:sz w:val="20"/>
          <w:szCs w:val="20"/>
          <w:color w:val="auto"/>
        </w:rPr>
      </w:pPr>
      <w:r>
        <w:rPr>
          <w:rFonts w:ascii="Times New Roman" w:cs="Times New Roman" w:eastAsia="Times New Roman" w:hAnsi="Times New Roman"/>
          <w:sz w:val="16"/>
          <w:szCs w:val="16"/>
          <w:color w:val="auto"/>
        </w:rPr>
        <w:t>Pursuant to the terms of the Grandview Property Partners acquisition agreement, we agreed to make up to $50 million of capital commitments across Grandview’s next two flagship funds.</w:t>
      </w:r>
    </w:p>
    <w:p>
      <w:pPr>
        <w:spacing w:after="0" w:line="43" w:lineRule="exact"/>
        <w:rPr>
          <w:sz w:val="20"/>
          <w:szCs w:val="20"/>
          <w:color w:val="auto"/>
        </w:rPr>
      </w:pPr>
    </w:p>
    <w:p>
      <w:pPr>
        <w:ind w:right="640"/>
        <w:spacing w:after="0" w:line="280" w:lineRule="auto"/>
        <w:rPr>
          <w:sz w:val="20"/>
          <w:szCs w:val="20"/>
          <w:color w:val="auto"/>
        </w:rPr>
      </w:pPr>
      <w:r>
        <w:rPr>
          <w:rFonts w:ascii="Times New Roman" w:cs="Times New Roman" w:eastAsia="Times New Roman" w:hAnsi="Times New Roman"/>
          <w:sz w:val="16"/>
          <w:szCs w:val="16"/>
          <w:color w:val="auto"/>
        </w:rPr>
        <w:t>We expect our investment portfolio to continue to grow as we grant additional annual franchise capital awards and make additional seed capital investments in new strategies and vehicles to support our growth.</w:t>
      </w:r>
    </w:p>
    <w:p>
      <w:pPr>
        <w:spacing w:after="0" w:line="70" w:lineRule="exact"/>
        <w:rPr>
          <w:sz w:val="20"/>
          <w:szCs w:val="20"/>
          <w:color w:val="auto"/>
        </w:rPr>
      </w:pPr>
    </w:p>
    <w:p>
      <w:pPr>
        <w:jc w:val="both"/>
        <w:ind w:right="160"/>
        <w:spacing w:after="0" w:line="272" w:lineRule="auto"/>
        <w:rPr>
          <w:sz w:val="20"/>
          <w:szCs w:val="20"/>
          <w:color w:val="auto"/>
        </w:rPr>
      </w:pPr>
      <w:r>
        <w:rPr>
          <w:rFonts w:ascii="Times New Roman" w:cs="Times New Roman" w:eastAsia="Times New Roman" w:hAnsi="Times New Roman"/>
          <w:sz w:val="16"/>
          <w:szCs w:val="16"/>
          <w:color w:val="auto"/>
        </w:rPr>
        <w:t>We have $190 million in unsecured notes outstanding and a $100 million revolving credit facility with a five-year term ending in August 2027. The notes are comprised of three series, Series E, Series F and Series G, each with a balloon payment at maturity. The $100 million revolving credit facility was unused as of and for the three months ended March 31, 2026.</w:t>
      </w:r>
    </w:p>
    <w:p>
      <w:pPr>
        <w:spacing w:after="0" w:line="63" w:lineRule="exact"/>
        <w:rPr>
          <w:sz w:val="20"/>
          <w:szCs w:val="20"/>
          <w:color w:val="auto"/>
        </w:rPr>
      </w:pPr>
    </w:p>
    <w:p>
      <w:pPr>
        <w:ind w:right="60"/>
        <w:spacing w:after="0" w:line="280" w:lineRule="auto"/>
        <w:rPr>
          <w:sz w:val="20"/>
          <w:szCs w:val="20"/>
          <w:color w:val="auto"/>
        </w:rPr>
      </w:pPr>
      <w:r>
        <w:rPr>
          <w:rFonts w:ascii="Times New Roman" w:cs="Times New Roman" w:eastAsia="Times New Roman" w:hAnsi="Times New Roman"/>
          <w:sz w:val="16"/>
          <w:szCs w:val="16"/>
          <w:color w:val="auto"/>
        </w:rPr>
        <w:t>The fixed interest rate on each series of unsecured notes is subject to a 100 basis point increase in the event Holdings receives a below-investment grade rating and any such increase will continue to apply until an investment grade rating is received.</w:t>
      </w:r>
    </w:p>
    <w:p>
      <w:pPr>
        <w:spacing w:after="0" w:line="70" w:lineRule="exact"/>
        <w:rPr>
          <w:sz w:val="20"/>
          <w:szCs w:val="20"/>
          <w:color w:val="auto"/>
        </w:rPr>
      </w:pPr>
    </w:p>
    <w:p>
      <w:pPr>
        <w:spacing w:after="0" w:line="280" w:lineRule="auto"/>
        <w:rPr>
          <w:sz w:val="20"/>
          <w:szCs w:val="20"/>
          <w:color w:val="auto"/>
        </w:rPr>
      </w:pPr>
      <w:r>
        <w:rPr>
          <w:rFonts w:ascii="Times New Roman" w:cs="Times New Roman" w:eastAsia="Times New Roman" w:hAnsi="Times New Roman"/>
          <w:sz w:val="16"/>
          <w:szCs w:val="16"/>
          <w:color w:val="auto"/>
        </w:rPr>
        <w:t>These borrowings contain various covenants. Our failure to comply with any of the covenants could result in an event of default under the agreements, giving our lenders the ability to accelerate repayment of our obligations. We were in compliance with all debt covenants as of March 31, 2026.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Distributions and Dividends</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Artisan Partners Holdings’ distributions, including distributions to APAM for the three months ended March 31, 2026 and 2025, were as follows:</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800" w:type="dxa"/>
            <w:vAlign w:val="bottom"/>
          </w:tcPr>
          <w:p>
            <w:pPr>
              <w:spacing w:after="0"/>
              <w:rPr>
                <w:sz w:val="18"/>
                <w:szCs w:val="18"/>
                <w:color w:val="auto"/>
              </w:rPr>
            </w:pPr>
          </w:p>
        </w:tc>
        <w:tc>
          <w:tcPr>
            <w:tcW w:w="3440" w:type="dxa"/>
            <w:vAlign w:val="bottom"/>
            <w:tcBorders>
              <w:bottom w:val="single" w:sz="8" w:color="auto"/>
            </w:tcBorders>
            <w:gridSpan w:val="5"/>
          </w:tcPr>
          <w:p>
            <w:pPr>
              <w:jc w:val="right"/>
              <w:ind w:right="259"/>
              <w:spacing w:after="0"/>
              <w:rPr>
                <w:sz w:val="20"/>
                <w:szCs w:val="20"/>
                <w:color w:val="auto"/>
              </w:rPr>
            </w:pPr>
            <w:r>
              <w:rPr>
                <w:rFonts w:ascii="Times New Roman" w:cs="Times New Roman" w:eastAsia="Times New Roman" w:hAnsi="Times New Roman"/>
                <w:sz w:val="16"/>
                <w:szCs w:val="16"/>
                <w:b w:val="1"/>
                <w:bCs w:val="1"/>
                <w:color w:val="auto"/>
              </w:rPr>
              <w:t>For the Three Months Ended March 31,</w:t>
            </w:r>
          </w:p>
        </w:tc>
      </w:tr>
      <w:tr>
        <w:trPr>
          <w:trHeight w:val="211"/>
        </w:trPr>
        <w:tc>
          <w:tcPr>
            <w:tcW w:w="7800" w:type="dxa"/>
            <w:vAlign w:val="bottom"/>
          </w:tcPr>
          <w:p>
            <w:pPr>
              <w:spacing w:after="0"/>
              <w:rPr>
                <w:sz w:val="18"/>
                <w:szCs w:val="18"/>
                <w:color w:val="auto"/>
              </w:rPr>
            </w:pPr>
          </w:p>
        </w:tc>
        <w:tc>
          <w:tcPr>
            <w:tcW w:w="114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2026</w:t>
            </w:r>
          </w:p>
        </w:tc>
        <w:tc>
          <w:tcPr>
            <w:tcW w:w="52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2025</w:t>
            </w:r>
          </w:p>
        </w:tc>
        <w:tc>
          <w:tcPr>
            <w:tcW w:w="500" w:type="dxa"/>
            <w:vAlign w:val="bottom"/>
            <w:tcBorders>
              <w:bottom w:val="single" w:sz="8" w:color="auto"/>
            </w:tcBorders>
          </w:tcPr>
          <w:p>
            <w:pPr>
              <w:spacing w:after="0"/>
              <w:rPr>
                <w:sz w:val="18"/>
                <w:szCs w:val="18"/>
                <w:color w:val="auto"/>
              </w:rPr>
            </w:pPr>
          </w:p>
        </w:tc>
      </w:tr>
      <w:tr>
        <w:trPr>
          <w:trHeight w:val="249"/>
        </w:trPr>
        <w:tc>
          <w:tcPr>
            <w:tcW w:w="7800" w:type="dxa"/>
            <w:vAlign w:val="bottom"/>
          </w:tcPr>
          <w:p>
            <w:pPr>
              <w:spacing w:after="0"/>
              <w:rPr>
                <w:sz w:val="21"/>
                <w:szCs w:val="21"/>
                <w:color w:val="auto"/>
              </w:rPr>
            </w:pPr>
          </w:p>
        </w:tc>
        <w:tc>
          <w:tcPr>
            <w:tcW w:w="2940" w:type="dxa"/>
            <w:vAlign w:val="bottom"/>
            <w:gridSpan w:val="4"/>
          </w:tcPr>
          <w:p>
            <w:pPr>
              <w:jc w:val="right"/>
              <w:ind w:right="379"/>
              <w:spacing w:after="0"/>
              <w:rPr>
                <w:sz w:val="20"/>
                <w:szCs w:val="20"/>
                <w:color w:val="auto"/>
              </w:rPr>
            </w:pPr>
            <w:r>
              <w:rPr>
                <w:rFonts w:ascii="Times New Roman" w:cs="Times New Roman" w:eastAsia="Times New Roman" w:hAnsi="Times New Roman"/>
                <w:sz w:val="16"/>
                <w:szCs w:val="16"/>
                <w:color w:val="auto"/>
              </w:rPr>
              <w:t>(unaudited, in millions)</w:t>
            </w:r>
          </w:p>
        </w:tc>
        <w:tc>
          <w:tcPr>
            <w:tcW w:w="500" w:type="dxa"/>
            <w:vAlign w:val="bottom"/>
          </w:tcPr>
          <w:p>
            <w:pPr>
              <w:spacing w:after="0"/>
              <w:rPr>
                <w:sz w:val="21"/>
                <w:szCs w:val="21"/>
                <w:color w:val="auto"/>
              </w:rPr>
            </w:pPr>
          </w:p>
        </w:tc>
      </w:tr>
      <w:tr>
        <w:trPr>
          <w:trHeight w:val="219"/>
        </w:trPr>
        <w:tc>
          <w:tcPr>
            <w:tcW w:w="78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Holdings Partnership Distributions to Limited Partners</w:t>
            </w:r>
          </w:p>
        </w:tc>
        <w:tc>
          <w:tcPr>
            <w:tcW w:w="1140" w:type="dxa"/>
            <w:vAlign w:val="bottom"/>
            <w:shd w:val="clear" w:color="auto" w:fill="CCEEFF"/>
          </w:tcPr>
          <w:p>
            <w:pPr>
              <w:jc w:val="right"/>
              <w:ind w:right="959"/>
              <w:spacing w:after="0"/>
              <w:rPr>
                <w:sz w:val="20"/>
                <w:szCs w:val="20"/>
                <w:color w:val="auto"/>
              </w:rPr>
            </w:pPr>
            <w:r>
              <w:rPr>
                <w:rFonts w:ascii="Times New Roman" w:cs="Times New Roman" w:eastAsia="Times New Roman" w:hAnsi="Times New Roman"/>
                <w:sz w:val="16"/>
                <w:szCs w:val="16"/>
                <w:color w:val="auto"/>
                <w:w w:val="99"/>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w:t>
            </w:r>
          </w:p>
        </w:tc>
        <w:tc>
          <w:tcPr>
            <w:tcW w:w="12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979"/>
              <w:spacing w:after="0"/>
              <w:rPr>
                <w:sz w:val="20"/>
                <w:szCs w:val="20"/>
                <w:color w:val="auto"/>
              </w:rPr>
            </w:pPr>
            <w:r>
              <w:rPr>
                <w:rFonts w:ascii="Times New Roman" w:cs="Times New Roman" w:eastAsia="Times New Roman" w:hAnsi="Times New Roman"/>
                <w:sz w:val="16"/>
                <w:szCs w:val="16"/>
                <w:color w:val="auto"/>
                <w:w w:val="99"/>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w:t>
            </w:r>
          </w:p>
        </w:tc>
      </w:tr>
      <w:tr>
        <w:trPr>
          <w:trHeight w:val="213"/>
        </w:trPr>
        <w:tc>
          <w:tcPr>
            <w:tcW w:w="780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Holdings Partnership Distributions to APAM</w:t>
            </w:r>
          </w:p>
        </w:tc>
        <w:tc>
          <w:tcPr>
            <w:tcW w:w="114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41.9</w:t>
            </w:r>
          </w:p>
        </w:tc>
        <w:tc>
          <w:tcPr>
            <w:tcW w:w="120" w:type="dxa"/>
            <w:vAlign w:val="bottom"/>
            <w:tcBorders>
              <w:bottom w:val="single" w:sz="8" w:color="CCEEFF"/>
            </w:tcBorders>
          </w:tcPr>
          <w:p>
            <w:pPr>
              <w:spacing w:after="0"/>
              <w:rPr>
                <w:sz w:val="18"/>
                <w:szCs w:val="18"/>
                <w:color w:val="auto"/>
              </w:rPr>
            </w:pPr>
          </w:p>
        </w:tc>
        <w:tc>
          <w:tcPr>
            <w:tcW w:w="116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42.9</w:t>
            </w:r>
          </w:p>
        </w:tc>
      </w:tr>
      <w:tr>
        <w:trPr>
          <w:trHeight w:val="237"/>
        </w:trPr>
        <w:tc>
          <w:tcPr>
            <w:tcW w:w="780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6"/>
                <w:szCs w:val="16"/>
                <w:b w:val="1"/>
                <w:bCs w:val="1"/>
                <w:color w:val="auto"/>
              </w:rPr>
              <w:t>Total Holdings Partnership Distributions</w:t>
            </w:r>
          </w:p>
        </w:tc>
        <w:tc>
          <w:tcPr>
            <w:tcW w:w="1140" w:type="dxa"/>
            <w:vAlign w:val="bottom"/>
            <w:tcBorders>
              <w:bottom w:val="single" w:sz="8" w:color="auto"/>
            </w:tcBorders>
            <w:shd w:val="clear" w:color="auto" w:fill="CCEEFF"/>
          </w:tcPr>
          <w:p>
            <w:pPr>
              <w:jc w:val="right"/>
              <w:ind w:right="95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47.9</w:t>
            </w:r>
          </w:p>
        </w:tc>
        <w:tc>
          <w:tcPr>
            <w:tcW w:w="12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auto"/>
            </w:tcBorders>
            <w:shd w:val="clear" w:color="auto" w:fill="CCEEFF"/>
          </w:tcPr>
          <w:p>
            <w:pPr>
              <w:jc w:val="right"/>
              <w:ind w:right="97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49.3</w:t>
            </w:r>
          </w:p>
        </w:tc>
      </w:tr>
      <w:tr>
        <w:trPr>
          <w:trHeight w:val="20"/>
        </w:trPr>
        <w:tc>
          <w:tcPr>
            <w:tcW w:w="780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r>
    </w:tbl>
    <w:p>
      <w:pPr>
        <w:spacing w:after="0" w:line="175" w:lineRule="exact"/>
        <w:rPr>
          <w:sz w:val="20"/>
          <w:szCs w:val="20"/>
          <w:color w:val="auto"/>
        </w:rPr>
      </w:pPr>
    </w:p>
    <w:p>
      <w:pPr>
        <w:ind w:right="160"/>
        <w:spacing w:after="0" w:line="298" w:lineRule="auto"/>
        <w:rPr>
          <w:sz w:val="20"/>
          <w:szCs w:val="20"/>
          <w:color w:val="auto"/>
        </w:rPr>
      </w:pPr>
      <w:r>
        <w:rPr>
          <w:rFonts w:ascii="Times New Roman" w:cs="Times New Roman" w:eastAsia="Times New Roman" w:hAnsi="Times New Roman"/>
          <w:sz w:val="16"/>
          <w:szCs w:val="16"/>
          <w:color w:val="auto"/>
        </w:rPr>
        <w:t>On April 28, 2026, we, acting as the general partner of Artisan Partners Holdings, declared a distribution of $40.7 million, payable by Artisan Partners Holdings to holders of its partnership units, including APAM.</w:t>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APAM declared and paid the following dividends per share during the three months ended March 31, 2026 and 2025:</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3900" w:type="dxa"/>
            <w:vAlign w:val="bottom"/>
            <w:gridSpan w:val="2"/>
          </w:tcPr>
          <w:p>
            <w:pPr>
              <w:ind w:left="1300"/>
              <w:spacing w:after="0"/>
              <w:rPr>
                <w:sz w:val="20"/>
                <w:szCs w:val="20"/>
                <w:color w:val="auto"/>
              </w:rPr>
            </w:pPr>
            <w:r>
              <w:rPr>
                <w:rFonts w:ascii="Times New Roman" w:cs="Times New Roman" w:eastAsia="Times New Roman" w:hAnsi="Times New Roman"/>
                <w:sz w:val="16"/>
                <w:szCs w:val="16"/>
                <w:b w:val="1"/>
                <w:bCs w:val="1"/>
                <w:color w:val="auto"/>
              </w:rPr>
              <w:t>Type of Dividend</w:t>
            </w:r>
          </w:p>
        </w:tc>
        <w:tc>
          <w:tcPr>
            <w:tcW w:w="3920" w:type="dxa"/>
            <w:vAlign w:val="bottom"/>
            <w:gridSpan w:val="2"/>
          </w:tcPr>
          <w:p>
            <w:pPr>
              <w:ind w:left="1420"/>
              <w:spacing w:after="0"/>
              <w:rPr>
                <w:sz w:val="20"/>
                <w:szCs w:val="20"/>
                <w:color w:val="auto"/>
              </w:rPr>
            </w:pPr>
            <w:r>
              <w:rPr>
                <w:rFonts w:ascii="Times New Roman" w:cs="Times New Roman" w:eastAsia="Times New Roman" w:hAnsi="Times New Roman"/>
                <w:sz w:val="16"/>
                <w:szCs w:val="16"/>
                <w:b w:val="1"/>
                <w:bCs w:val="1"/>
                <w:color w:val="auto"/>
              </w:rPr>
              <w:t>Class of Stock</w:t>
            </w:r>
          </w:p>
        </w:tc>
        <w:tc>
          <w:tcPr>
            <w:tcW w:w="220" w:type="dxa"/>
            <w:vAlign w:val="bottom"/>
          </w:tcPr>
          <w:p>
            <w:pPr>
              <w:spacing w:after="0"/>
              <w:rPr>
                <w:sz w:val="18"/>
                <w:szCs w:val="18"/>
                <w:color w:val="auto"/>
              </w:rPr>
            </w:pPr>
          </w:p>
        </w:tc>
        <w:tc>
          <w:tcPr>
            <w:tcW w:w="3200" w:type="dxa"/>
            <w:vAlign w:val="bottom"/>
            <w:gridSpan w:val="4"/>
          </w:tcPr>
          <w:p>
            <w:pPr>
              <w:jc w:val="right"/>
              <w:ind w:right="239"/>
              <w:spacing w:after="0"/>
              <w:rPr>
                <w:sz w:val="20"/>
                <w:szCs w:val="20"/>
                <w:color w:val="auto"/>
              </w:rPr>
            </w:pPr>
            <w:r>
              <w:rPr>
                <w:rFonts w:ascii="Times New Roman" w:cs="Times New Roman" w:eastAsia="Times New Roman" w:hAnsi="Times New Roman"/>
                <w:sz w:val="16"/>
                <w:szCs w:val="16"/>
                <w:b w:val="1"/>
                <w:bCs w:val="1"/>
                <w:color w:val="auto"/>
              </w:rPr>
              <w:t>For the Three Months Ended March 31,</w:t>
            </w:r>
          </w:p>
        </w:tc>
      </w:tr>
      <w:tr>
        <w:trPr>
          <w:trHeight w:val="211"/>
        </w:trPr>
        <w:tc>
          <w:tcPr>
            <w:tcW w:w="3780" w:type="dxa"/>
            <w:vAlign w:val="bottom"/>
            <w:tcBorders>
              <w:top w:val="single" w:sz="8" w:color="auto"/>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3800" w:type="dxa"/>
            <w:vAlign w:val="bottom"/>
            <w:tcBorders>
              <w:top w:val="single" w:sz="8" w:color="auto"/>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1440" w:type="dxa"/>
            <w:vAlign w:val="bottom"/>
            <w:tcBorders>
              <w:top w:val="single" w:sz="8" w:color="auto"/>
              <w:bottom w:val="single" w:sz="8" w:color="auto"/>
            </w:tcBorders>
          </w:tcPr>
          <w:p>
            <w:pPr>
              <w:jc w:val="right"/>
              <w:ind w:right="579"/>
              <w:spacing w:after="0"/>
              <w:rPr>
                <w:sz w:val="20"/>
                <w:szCs w:val="20"/>
                <w:color w:val="auto"/>
              </w:rPr>
            </w:pPr>
            <w:r>
              <w:rPr>
                <w:rFonts w:ascii="Times New Roman" w:cs="Times New Roman" w:eastAsia="Times New Roman" w:hAnsi="Times New Roman"/>
                <w:sz w:val="16"/>
                <w:szCs w:val="16"/>
                <w:b w:val="1"/>
                <w:bCs w:val="1"/>
                <w:color w:val="auto"/>
              </w:rPr>
              <w:t>2026</w:t>
            </w:r>
          </w:p>
        </w:tc>
        <w:tc>
          <w:tcPr>
            <w:tcW w:w="120" w:type="dxa"/>
            <w:vAlign w:val="bottom"/>
            <w:tcBorders>
              <w:top w:val="single" w:sz="8" w:color="auto"/>
              <w:bottom w:val="single" w:sz="8" w:color="CCEEFF"/>
            </w:tcBorders>
          </w:tcPr>
          <w:p>
            <w:pPr>
              <w:spacing w:after="0"/>
              <w:rPr>
                <w:sz w:val="18"/>
                <w:szCs w:val="18"/>
                <w:color w:val="auto"/>
              </w:rPr>
            </w:pPr>
          </w:p>
        </w:tc>
        <w:tc>
          <w:tcPr>
            <w:tcW w:w="380" w:type="dxa"/>
            <w:vAlign w:val="bottom"/>
            <w:tcBorders>
              <w:top w:val="single" w:sz="8" w:color="auto"/>
              <w:bottom w:val="single" w:sz="8" w:color="auto"/>
            </w:tcBorders>
          </w:tcPr>
          <w:p>
            <w:pPr>
              <w:spacing w:after="0"/>
              <w:rPr>
                <w:sz w:val="18"/>
                <w:szCs w:val="18"/>
                <w:color w:val="auto"/>
              </w:rPr>
            </w:pPr>
          </w:p>
        </w:tc>
        <w:tc>
          <w:tcPr>
            <w:tcW w:w="1260" w:type="dxa"/>
            <w:vAlign w:val="bottom"/>
            <w:tcBorders>
              <w:top w:val="single" w:sz="8" w:color="auto"/>
              <w:bottom w:val="single" w:sz="8" w:color="auto"/>
            </w:tcBorders>
          </w:tcPr>
          <w:p>
            <w:pPr>
              <w:jc w:val="right"/>
              <w:ind w:right="579"/>
              <w:spacing w:after="0"/>
              <w:rPr>
                <w:sz w:val="20"/>
                <w:szCs w:val="20"/>
                <w:color w:val="auto"/>
              </w:rPr>
            </w:pPr>
            <w:r>
              <w:rPr>
                <w:rFonts w:ascii="Times New Roman" w:cs="Times New Roman" w:eastAsia="Times New Roman" w:hAnsi="Times New Roman"/>
                <w:sz w:val="16"/>
                <w:szCs w:val="16"/>
                <w:b w:val="1"/>
                <w:bCs w:val="1"/>
                <w:color w:val="auto"/>
              </w:rPr>
              <w:t>2025</w:t>
            </w:r>
          </w:p>
        </w:tc>
      </w:tr>
      <w:tr>
        <w:trPr>
          <w:trHeight w:val="211"/>
        </w:trPr>
        <w:tc>
          <w:tcPr>
            <w:tcW w:w="39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Quarterly</w:t>
            </w:r>
          </w:p>
        </w:tc>
        <w:tc>
          <w:tcPr>
            <w:tcW w:w="39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Class A Common</w:t>
            </w:r>
          </w:p>
        </w:tc>
        <w:tc>
          <w:tcPr>
            <w:tcW w:w="2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1.01</w:t>
            </w: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0.84</w:t>
            </w:r>
          </w:p>
        </w:tc>
      </w:tr>
      <w:tr>
        <w:trPr>
          <w:trHeight w:val="210"/>
        </w:trPr>
        <w:tc>
          <w:tcPr>
            <w:tcW w:w="390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Special Annual</w:t>
            </w:r>
          </w:p>
        </w:tc>
        <w:tc>
          <w:tcPr>
            <w:tcW w:w="392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Class A Common</w:t>
            </w:r>
          </w:p>
        </w:tc>
        <w:tc>
          <w:tcPr>
            <w:tcW w:w="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0.57</w:t>
            </w:r>
          </w:p>
        </w:tc>
        <w:tc>
          <w:tcPr>
            <w:tcW w:w="120" w:type="dxa"/>
            <w:vAlign w:val="bottom"/>
          </w:tcPr>
          <w:p>
            <w:pPr>
              <w:spacing w:after="0"/>
              <w:rPr>
                <w:sz w:val="18"/>
                <w:szCs w:val="18"/>
                <w:color w:val="auto"/>
              </w:rPr>
            </w:pPr>
          </w:p>
        </w:tc>
        <w:tc>
          <w:tcPr>
            <w:tcW w:w="380" w:type="dxa"/>
            <w:vAlign w:val="bottom"/>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0.50</w:t>
            </w:r>
          </w:p>
        </w:tc>
      </w:tr>
    </w:tbl>
    <w:p>
      <w:pPr>
        <w:spacing w:after="0" w:line="181" w:lineRule="exact"/>
        <w:rPr>
          <w:sz w:val="20"/>
          <w:szCs w:val="20"/>
          <w:color w:val="auto"/>
        </w:rPr>
      </w:pPr>
    </w:p>
    <w:p>
      <w:pPr>
        <w:ind w:right="100"/>
        <w:spacing w:after="0" w:line="272" w:lineRule="auto"/>
        <w:rPr>
          <w:sz w:val="20"/>
          <w:szCs w:val="20"/>
          <w:color w:val="auto"/>
        </w:rPr>
      </w:pPr>
      <w:r>
        <w:rPr>
          <w:rFonts w:ascii="Times New Roman" w:cs="Times New Roman" w:eastAsia="Times New Roman" w:hAnsi="Times New Roman"/>
          <w:sz w:val="16"/>
          <w:szCs w:val="16"/>
          <w:color w:val="auto"/>
        </w:rPr>
        <w:t>Our board of directors declared, effective April 28, 2026, a variable quarterly dividend of $0.77 per share of Class A common stock with respect to the March quarter of 2026, payable on May 29, 2026 to stockholders of record as of the close of business on May 15, 2026. The variable quarterly dividend represents approximately 80% of the cash generated in the March quarter of 2026 and a pro-rata portion of 2026 tax savings related to our tax receivable agreements.</w:t>
      </w:r>
    </w:p>
    <w:p>
      <w:pPr>
        <w:spacing w:after="0" w:line="63" w:lineRule="exact"/>
        <w:rPr>
          <w:sz w:val="20"/>
          <w:szCs w:val="20"/>
          <w:color w:val="auto"/>
        </w:rPr>
      </w:pPr>
    </w:p>
    <w:p>
      <w:pPr>
        <w:ind w:right="180"/>
        <w:spacing w:after="0" w:line="263" w:lineRule="auto"/>
        <w:rPr>
          <w:sz w:val="20"/>
          <w:szCs w:val="20"/>
          <w:color w:val="auto"/>
        </w:rPr>
      </w:pPr>
      <w:r>
        <w:rPr>
          <w:rFonts w:ascii="Times New Roman" w:cs="Times New Roman" w:eastAsia="Times New Roman" w:hAnsi="Times New Roman"/>
          <w:sz w:val="16"/>
          <w:szCs w:val="16"/>
          <w:color w:val="auto"/>
        </w:rPr>
        <w:t>Subject to Board approval each quarter, we currently expect to pay a quarterly dividend of approximately 80% of the cash the Company generates each quarter. We expect our quarterly cash generation to approximate adjusted net income plus long-term incentive compensation award expense, less cash reserved for future franchise capital awards, with additional adjustments made for certain other sources and uses of cash, including capital expenditures. After the end of the year, our Board will consider payment of a special dividend from the 20% withheld each quarter plus any discrete sources and uses of cash throughout the year, which may include gains realized upon seed capital redemptions and investments redeemed in connection with forfeited franchise capital awards.</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Tax Receivable Agreements (“TRAs”)</w:t>
      </w:r>
    </w:p>
    <w:p>
      <w:pPr>
        <w:spacing w:after="0" w:line="129"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6"/>
          <w:szCs w:val="16"/>
          <w:color w:val="auto"/>
        </w:rPr>
        <w:t>In addition to funding our normal operations, we will be required to fund amounts payable under the TRAs that we entered into in connection with the IPO, which resulted in the recognition of a $305.2 million liability as of March 31, 2026. The liability generally represents 85% of the tax benefits APAM expects to realize as a result of the merger of an entity into APAM as part of the IPO Reorganization, our purchase of partnership units from limited partners of Holdings and the exchange of partnership units (for shares of Class A common stock or other consideration). The estimated liability assumes no material changes in the relevant tax law and that APAM earns sufficient taxable income to realize all tax benefits subject to the TRAs. An increase or decrease in future tax rates will increase or decrease, respectively, the expected tax benefits APAM would realize and the amounts payable under the TRAs. Changes in the estimate of expected tax benefits APAM would realize and the amounts payable under the TRAs as a result of change in tax rates have been and will be recorded in net income.</w:t>
      </w:r>
    </w:p>
    <w:p>
      <w:pPr>
        <w:spacing w:after="0" w:line="87" w:lineRule="exact"/>
        <w:rPr>
          <w:sz w:val="20"/>
          <w:szCs w:val="20"/>
          <w:color w:val="auto"/>
        </w:rPr>
      </w:pPr>
    </w:p>
    <w:p>
      <w:pPr>
        <w:jc w:val="both"/>
        <w:ind w:right="160"/>
        <w:spacing w:after="0" w:line="263" w:lineRule="auto"/>
        <w:rPr>
          <w:sz w:val="20"/>
          <w:szCs w:val="20"/>
          <w:color w:val="auto"/>
        </w:rPr>
      </w:pPr>
      <w:r>
        <w:rPr>
          <w:rFonts w:ascii="Times New Roman" w:cs="Times New Roman" w:eastAsia="Times New Roman" w:hAnsi="Times New Roman"/>
          <w:sz w:val="16"/>
          <w:szCs w:val="16"/>
          <w:color w:val="auto"/>
        </w:rPr>
        <w:t>The liability will increase upon future purchases or exchanges of limited partnership units with the increase representing amounts payable under the TRAs equal to 85% of the estimated future tax benefits, if any, resulting from such purchases or exchanges. We intend to fund the payment of amounts due under the TRAs out of the reduced tax payments that APAM realizes in respect of the tax attributes to which the TRAs relate.</w:t>
      </w:r>
    </w:p>
    <w:p>
      <w:pPr>
        <w:spacing w:after="0" w:line="84" w:lineRule="exact"/>
        <w:rPr>
          <w:sz w:val="20"/>
          <w:szCs w:val="20"/>
          <w:color w:val="auto"/>
        </w:rPr>
      </w:pPr>
    </w:p>
    <w:p>
      <w:pPr>
        <w:ind w:right="80"/>
        <w:spacing w:after="0" w:line="260" w:lineRule="auto"/>
        <w:rPr>
          <w:sz w:val="20"/>
          <w:szCs w:val="20"/>
          <w:color w:val="auto"/>
        </w:rPr>
      </w:pPr>
      <w:r>
        <w:rPr>
          <w:rFonts w:ascii="Times New Roman" w:cs="Times New Roman" w:eastAsia="Times New Roman" w:hAnsi="Times New Roman"/>
          <w:sz w:val="16"/>
          <w:szCs w:val="16"/>
          <w:color w:val="auto"/>
        </w:rPr>
        <w:t>The actual increase in tax basis, as well as the amount and timing of any payments under these agreements, will vary depending upon a number of factors, including the timing of sales or exchanges by the holders of limited partnership units, the price of the Class A common stock at the time of such sales or exchanges, whether such sales or exchanges are taxable, the amount and timing of the taxable income APAM generates in the future and the tax rate then applicable and the portion of APAM’s payments under the TRAs constituting imputed interest or depreciable basis or amortizable basis. In certain cases, payments under the TRAs may be accelerated and/or significantly exceed the actual benefits we realize in respect of the tax attributes subject to the TRAs. In such cases, we intend to fund those payments with cash on hand, although we may have to borrow funds depending on the amount and timing of the payments. We did not make payments related to the TRAs during the three months ended March 31,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2026. In fiscal 2026 we expect to make TRA payments totaling approximately $40.4 million, $30.3 million of which was paid during April 2026.</w:t>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820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Cash Flows</w:t>
            </w:r>
          </w:p>
        </w:tc>
        <w:tc>
          <w:tcPr>
            <w:tcW w:w="9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00" w:type="dxa"/>
            <w:vAlign w:val="bottom"/>
          </w:tcPr>
          <w:p>
            <w:pPr>
              <w:spacing w:after="0"/>
              <w:rPr>
                <w:sz w:val="18"/>
                <w:szCs w:val="18"/>
                <w:color w:val="auto"/>
              </w:rPr>
            </w:pPr>
          </w:p>
        </w:tc>
      </w:tr>
      <w:tr>
        <w:trPr>
          <w:trHeight w:val="195"/>
        </w:trPr>
        <w:tc>
          <w:tcPr>
            <w:tcW w:w="8200" w:type="dxa"/>
            <w:vAlign w:val="bottom"/>
          </w:tcPr>
          <w:p>
            <w:pPr>
              <w:spacing w:after="0"/>
              <w:rPr>
                <w:sz w:val="16"/>
                <w:szCs w:val="16"/>
                <w:color w:val="auto"/>
              </w:rPr>
            </w:pPr>
          </w:p>
        </w:tc>
        <w:tc>
          <w:tcPr>
            <w:tcW w:w="3040" w:type="dxa"/>
            <w:vAlign w:val="bottom"/>
            <w:gridSpan w:val="5"/>
          </w:tcPr>
          <w:p>
            <w:pPr>
              <w:ind w:left="140"/>
              <w:spacing w:after="0"/>
              <w:rPr>
                <w:sz w:val="20"/>
                <w:szCs w:val="20"/>
                <w:color w:val="auto"/>
              </w:rPr>
            </w:pPr>
            <w:r>
              <w:rPr>
                <w:rFonts w:ascii="Times New Roman" w:cs="Times New Roman" w:eastAsia="Times New Roman" w:hAnsi="Times New Roman"/>
                <w:sz w:val="16"/>
                <w:szCs w:val="16"/>
                <w:b w:val="1"/>
                <w:bCs w:val="1"/>
                <w:color w:val="auto"/>
              </w:rPr>
              <w:t>For the Three Months Ended March 31,</w:t>
            </w:r>
          </w:p>
        </w:tc>
      </w:tr>
      <w:tr>
        <w:trPr>
          <w:trHeight w:val="214"/>
        </w:trPr>
        <w:tc>
          <w:tcPr>
            <w:tcW w:w="8200" w:type="dxa"/>
            <w:vAlign w:val="bottom"/>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gridSpan w:val="3"/>
          </w:tcPr>
          <w:p>
            <w:pPr>
              <w:jc w:val="right"/>
              <w:ind w:right="779"/>
              <w:spacing w:after="0"/>
              <w:rPr>
                <w:sz w:val="20"/>
                <w:szCs w:val="20"/>
                <w:color w:val="auto"/>
              </w:rPr>
            </w:pPr>
            <w:r>
              <w:rPr>
                <w:rFonts w:ascii="Times New Roman" w:cs="Times New Roman" w:eastAsia="Times New Roman" w:hAnsi="Times New Roman"/>
                <w:sz w:val="16"/>
                <w:szCs w:val="16"/>
                <w:b w:val="1"/>
                <w:bCs w:val="1"/>
                <w:color w:val="auto"/>
              </w:rPr>
              <w:t>2026</w:t>
            </w:r>
          </w:p>
        </w:tc>
        <w:tc>
          <w:tcPr>
            <w:tcW w:w="500" w:type="dxa"/>
            <w:vAlign w:val="bottom"/>
            <w:tcBorders>
              <w:bottom w:val="single" w:sz="8" w:color="auto"/>
            </w:tcBorders>
          </w:tcPr>
          <w:p>
            <w:pPr>
              <w:spacing w:after="0"/>
              <w:rPr>
                <w:sz w:val="18"/>
                <w:szCs w:val="18"/>
                <w:color w:val="auto"/>
              </w:rPr>
            </w:pPr>
          </w:p>
        </w:tc>
      </w:tr>
      <w:tr>
        <w:trPr>
          <w:trHeight w:val="209"/>
        </w:trPr>
        <w:tc>
          <w:tcPr>
            <w:tcW w:w="8200" w:type="dxa"/>
            <w:vAlign w:val="bottom"/>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2026</w:t>
            </w:r>
          </w:p>
        </w:tc>
        <w:tc>
          <w:tcPr>
            <w:tcW w:w="50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2025</w:t>
            </w:r>
          </w:p>
        </w:tc>
        <w:tc>
          <w:tcPr>
            <w:tcW w:w="500" w:type="dxa"/>
            <w:vAlign w:val="bottom"/>
            <w:tcBorders>
              <w:bottom w:val="single" w:sz="8" w:color="auto"/>
            </w:tcBorders>
          </w:tcPr>
          <w:p>
            <w:pPr>
              <w:spacing w:after="0"/>
              <w:rPr>
                <w:sz w:val="18"/>
                <w:szCs w:val="18"/>
                <w:color w:val="auto"/>
              </w:rPr>
            </w:pPr>
          </w:p>
        </w:tc>
      </w:tr>
      <w:tr>
        <w:trPr>
          <w:trHeight w:val="249"/>
        </w:trPr>
        <w:tc>
          <w:tcPr>
            <w:tcW w:w="8200" w:type="dxa"/>
            <w:vAlign w:val="bottom"/>
          </w:tcPr>
          <w:p>
            <w:pPr>
              <w:spacing w:after="0"/>
              <w:rPr>
                <w:sz w:val="21"/>
                <w:szCs w:val="21"/>
                <w:color w:val="auto"/>
              </w:rPr>
            </w:pPr>
          </w:p>
        </w:tc>
        <w:tc>
          <w:tcPr>
            <w:tcW w:w="2540" w:type="dxa"/>
            <w:vAlign w:val="bottom"/>
            <w:gridSpan w:val="4"/>
          </w:tcPr>
          <w:p>
            <w:pPr>
              <w:jc w:val="right"/>
              <w:ind w:right="179"/>
              <w:spacing w:after="0"/>
              <w:rPr>
                <w:sz w:val="20"/>
                <w:szCs w:val="20"/>
                <w:color w:val="auto"/>
              </w:rPr>
            </w:pPr>
            <w:r>
              <w:rPr>
                <w:rFonts w:ascii="Times New Roman" w:cs="Times New Roman" w:eastAsia="Times New Roman" w:hAnsi="Times New Roman"/>
                <w:sz w:val="16"/>
                <w:szCs w:val="16"/>
                <w:color w:val="auto"/>
              </w:rPr>
              <w:t>(unaudited; in millions)</w:t>
            </w:r>
          </w:p>
        </w:tc>
        <w:tc>
          <w:tcPr>
            <w:tcW w:w="500" w:type="dxa"/>
            <w:vAlign w:val="bottom"/>
          </w:tcPr>
          <w:p>
            <w:pPr>
              <w:spacing w:after="0"/>
              <w:rPr>
                <w:sz w:val="21"/>
                <w:szCs w:val="21"/>
                <w:color w:val="auto"/>
              </w:rPr>
            </w:pPr>
          </w:p>
        </w:tc>
      </w:tr>
      <w:tr>
        <w:trPr>
          <w:trHeight w:val="219"/>
        </w:trPr>
        <w:tc>
          <w:tcPr>
            <w:tcW w:w="8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Cash and cash equivalents as of January 1</w:t>
            </w:r>
          </w:p>
        </w:tc>
        <w:tc>
          <w:tcPr>
            <w:tcW w:w="960" w:type="dxa"/>
            <w:vAlign w:val="bottom"/>
            <w:shd w:val="clear" w:color="auto" w:fill="CCEEFF"/>
          </w:tcPr>
          <w:p>
            <w:pPr>
              <w:jc w:val="right"/>
              <w:ind w:right="77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5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6"/>
                <w:szCs w:val="16"/>
                <w:b w:val="1"/>
                <w:bCs w:val="1"/>
                <w:color w:val="auto"/>
              </w:rPr>
              <w:t>255.5</w:t>
            </w: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77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5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6"/>
                <w:szCs w:val="16"/>
                <w:b w:val="1"/>
                <w:bCs w:val="1"/>
                <w:color w:val="auto"/>
              </w:rPr>
              <w:t>268.2</w:t>
            </w:r>
          </w:p>
        </w:tc>
      </w:tr>
      <w:tr>
        <w:trPr>
          <w:trHeight w:val="213"/>
        </w:trPr>
        <w:tc>
          <w:tcPr>
            <w:tcW w:w="82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cash provided by operating activities</w:t>
            </w:r>
          </w:p>
        </w:tc>
        <w:tc>
          <w:tcPr>
            <w:tcW w:w="960" w:type="dxa"/>
            <w:vAlign w:val="bottom"/>
          </w:tcPr>
          <w:p>
            <w:pPr>
              <w:spacing w:after="0"/>
              <w:rPr>
                <w:sz w:val="18"/>
                <w:szCs w:val="18"/>
                <w:color w:val="auto"/>
              </w:rPr>
            </w:pPr>
          </w:p>
        </w:tc>
        <w:tc>
          <w:tcPr>
            <w:tcW w:w="50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181.8</w:t>
            </w: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0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157.9</w:t>
            </w:r>
          </w:p>
        </w:tc>
      </w:tr>
      <w:tr>
        <w:trPr>
          <w:trHeight w:val="219"/>
        </w:trPr>
        <w:tc>
          <w:tcPr>
            <w:tcW w:w="8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cash used in investing activities</w:t>
            </w:r>
          </w:p>
        </w:tc>
        <w:tc>
          <w:tcPr>
            <w:tcW w:w="960" w:type="dxa"/>
            <w:vAlign w:val="bottom"/>
            <w:shd w:val="clear" w:color="auto" w:fill="CCEEFF"/>
          </w:tcPr>
          <w:p>
            <w:pPr>
              <w:spacing w:after="0"/>
              <w:rPr>
                <w:sz w:val="19"/>
                <w:szCs w:val="19"/>
                <w:color w:val="auto"/>
              </w:rPr>
            </w:pPr>
          </w:p>
        </w:tc>
        <w:tc>
          <w:tcPr>
            <w:tcW w:w="5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(12.0)</w:t>
            </w: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5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(38.3)</w:t>
            </w:r>
          </w:p>
        </w:tc>
      </w:tr>
      <w:tr>
        <w:trPr>
          <w:trHeight w:val="213"/>
        </w:trPr>
        <w:tc>
          <w:tcPr>
            <w:tcW w:w="82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cash used in financing activities</w:t>
            </w:r>
          </w:p>
        </w:tc>
        <w:tc>
          <w:tcPr>
            <w:tcW w:w="960" w:type="dxa"/>
            <w:vAlign w:val="bottom"/>
          </w:tcPr>
          <w:p>
            <w:pPr>
              <w:spacing w:after="0"/>
              <w:rPr>
                <w:sz w:val="18"/>
                <w:szCs w:val="18"/>
                <w:color w:val="auto"/>
              </w:rPr>
            </w:pPr>
          </w:p>
        </w:tc>
        <w:tc>
          <w:tcPr>
            <w:tcW w:w="50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(95.1)</w:t>
            </w: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0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(91.8)</w:t>
            </w:r>
          </w:p>
        </w:tc>
      </w:tr>
      <w:tr>
        <w:trPr>
          <w:trHeight w:val="219"/>
        </w:trPr>
        <w:tc>
          <w:tcPr>
            <w:tcW w:w="8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impact of deconsolidation of consolidated investment products</w:t>
            </w:r>
          </w:p>
        </w:tc>
        <w:tc>
          <w:tcPr>
            <w:tcW w:w="960" w:type="dxa"/>
            <w:vAlign w:val="bottom"/>
            <w:tcBorders>
              <w:bottom w:val="single" w:sz="8" w:color="auto"/>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(29.7)</w:t>
            </w:r>
          </w:p>
        </w:tc>
        <w:tc>
          <w:tcPr>
            <w:tcW w:w="120" w:type="dxa"/>
            <w:vAlign w:val="bottom"/>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(37.0)</w:t>
            </w:r>
          </w:p>
        </w:tc>
      </w:tr>
      <w:tr>
        <w:trPr>
          <w:trHeight w:val="208"/>
        </w:trPr>
        <w:tc>
          <w:tcPr>
            <w:tcW w:w="820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Cash and cash equivalents as of March 31</w:t>
            </w:r>
          </w:p>
        </w:tc>
        <w:tc>
          <w:tcPr>
            <w:tcW w:w="960" w:type="dxa"/>
            <w:vAlign w:val="bottom"/>
            <w:tcBorders>
              <w:bottom w:val="single" w:sz="8" w:color="auto"/>
            </w:tcBorders>
          </w:tcPr>
          <w:p>
            <w:pPr>
              <w:jc w:val="right"/>
              <w:ind w:right="77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50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6"/>
                <w:szCs w:val="16"/>
                <w:b w:val="1"/>
                <w:bCs w:val="1"/>
                <w:color w:val="auto"/>
              </w:rPr>
              <w:t>300.5</w:t>
            </w:r>
          </w:p>
        </w:tc>
        <w:tc>
          <w:tcPr>
            <w:tcW w:w="120" w:type="dxa"/>
            <w:vAlign w:val="bottom"/>
          </w:tcPr>
          <w:p>
            <w:pPr>
              <w:spacing w:after="0"/>
              <w:rPr>
                <w:sz w:val="18"/>
                <w:szCs w:val="18"/>
                <w:color w:val="auto"/>
              </w:rPr>
            </w:pPr>
          </w:p>
        </w:tc>
        <w:tc>
          <w:tcPr>
            <w:tcW w:w="960" w:type="dxa"/>
            <w:vAlign w:val="bottom"/>
            <w:tcBorders>
              <w:bottom w:val="single" w:sz="8" w:color="auto"/>
            </w:tcBorders>
          </w:tcPr>
          <w:p>
            <w:pPr>
              <w:jc w:val="right"/>
              <w:ind w:right="77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50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6"/>
                <w:szCs w:val="16"/>
                <w:b w:val="1"/>
                <w:bCs w:val="1"/>
                <w:color w:val="auto"/>
              </w:rPr>
              <w:t>259.0</w:t>
            </w:r>
          </w:p>
        </w:tc>
      </w:tr>
      <w:tr>
        <w:trPr>
          <w:trHeight w:val="22"/>
        </w:trPr>
        <w:tc>
          <w:tcPr>
            <w:tcW w:w="820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r>
    </w:tbl>
    <w:p>
      <w:pPr>
        <w:spacing w:after="0" w:line="175" w:lineRule="exact"/>
        <w:rPr>
          <w:sz w:val="20"/>
          <w:szCs w:val="20"/>
          <w:color w:val="auto"/>
        </w:rPr>
      </w:pPr>
    </w:p>
    <w:p>
      <w:pPr>
        <w:ind w:right="60"/>
        <w:spacing w:after="0" w:line="269" w:lineRule="auto"/>
        <w:rPr>
          <w:sz w:val="20"/>
          <w:szCs w:val="20"/>
          <w:color w:val="auto"/>
        </w:rPr>
      </w:pPr>
      <w:r>
        <w:rPr>
          <w:rFonts w:ascii="Times New Roman" w:cs="Times New Roman" w:eastAsia="Times New Roman" w:hAnsi="Times New Roman"/>
          <w:sz w:val="16"/>
          <w:szCs w:val="16"/>
          <w:color w:val="auto"/>
        </w:rPr>
        <w:t>Net cash provided by operating activities increased $23.9 million for the three months ended March 31, 2026, compared to the three months ended March 31, 2025, primarily due to changes in working capital of $18.8 million, which included the collection, in the first quarter, of higher performance fees generated in the three months ended December 31, 2025 and a $7.7 million increase in operating income. This is partially offset by a $3.5 million increase in net purchase activity within our consolidated investment products.</w:t>
      </w:r>
    </w:p>
    <w:p>
      <w:pPr>
        <w:spacing w:after="0" w:line="66" w:lineRule="exact"/>
        <w:rPr>
          <w:sz w:val="20"/>
          <w:szCs w:val="20"/>
          <w:color w:val="auto"/>
        </w:rPr>
      </w:pPr>
    </w:p>
    <w:p>
      <w:pPr>
        <w:ind w:right="60"/>
        <w:spacing w:after="0" w:line="263" w:lineRule="auto"/>
        <w:rPr>
          <w:sz w:val="20"/>
          <w:szCs w:val="20"/>
          <w:color w:val="auto"/>
        </w:rPr>
      </w:pPr>
      <w:r>
        <w:rPr>
          <w:rFonts w:ascii="Times New Roman" w:cs="Times New Roman" w:eastAsia="Times New Roman" w:hAnsi="Times New Roman"/>
          <w:sz w:val="16"/>
          <w:szCs w:val="16"/>
          <w:color w:val="auto"/>
        </w:rPr>
        <w:t>Investing activities consist of the purchase and sale of investment securities, the acquisition of property and equipment, leasehold improvements, and cash paid for business acquisitions. Net cash used in investing activities decreased $26.3 million for the three months ended March 31, 2026, compared to the three months ended March 31, 2025, primarily due to a $49.1 million increase in cash from net security investment activity in the three months ended March 31, 2026. This was offset by $22.5 million of cash paid in connection with the acquisition of Grandview in the current year.</w:t>
      </w:r>
    </w:p>
    <w:p>
      <w:pPr>
        <w:spacing w:after="0" w:line="85" w:lineRule="exact"/>
        <w:rPr>
          <w:sz w:val="20"/>
          <w:szCs w:val="20"/>
          <w:color w:val="auto"/>
        </w:rPr>
      </w:pPr>
    </w:p>
    <w:p>
      <w:pPr>
        <w:ind w:right="120"/>
        <w:spacing w:after="0" w:line="259" w:lineRule="auto"/>
        <w:rPr>
          <w:sz w:val="20"/>
          <w:szCs w:val="20"/>
          <w:color w:val="auto"/>
        </w:rPr>
      </w:pPr>
      <w:r>
        <w:rPr>
          <w:rFonts w:ascii="Times New Roman" w:cs="Times New Roman" w:eastAsia="Times New Roman" w:hAnsi="Times New Roman"/>
          <w:sz w:val="16"/>
          <w:szCs w:val="16"/>
          <w:color w:val="auto"/>
        </w:rPr>
        <w:t>Financing activities consist primarily of dividend payments to holders of our Class A common stock, partnership distributions to noncontrolling interests, contributions to and distributions from consolidated investment products, and payments owed under the tax receivable agreements. Net cash used in financing activities increased $3.2 million for the three months ended March 31, 2026, compared to the three months ended March 31, 2025. Dividend and distribution payments increased by $17.3 million which was partially offset by a $10.0 million increase in investment subscriptions into consolidated investment products and a $4.0 million decrease in taxes paid related to employee net share settlements.</w:t>
      </w:r>
    </w:p>
    <w:p>
      <w:pPr>
        <w:spacing w:after="0" w:line="87" w:lineRule="exact"/>
        <w:rPr>
          <w:sz w:val="20"/>
          <w:szCs w:val="20"/>
          <w:color w:val="auto"/>
        </w:rPr>
      </w:pPr>
    </w:p>
    <w:p>
      <w:pPr>
        <w:ind w:right="320"/>
        <w:spacing w:after="0" w:line="263" w:lineRule="auto"/>
        <w:rPr>
          <w:sz w:val="20"/>
          <w:szCs w:val="20"/>
          <w:color w:val="auto"/>
        </w:rPr>
      </w:pPr>
      <w:r>
        <w:rPr>
          <w:rFonts w:ascii="Times New Roman" w:cs="Times New Roman" w:eastAsia="Times New Roman" w:hAnsi="Times New Roman"/>
          <w:sz w:val="16"/>
          <w:szCs w:val="16"/>
          <w:color w:val="auto"/>
        </w:rPr>
        <w:t>During each of the three months ended March 31, 2026 and March 31, 2025, the Company determined that it no longer had a controlling financial interest in investment products that were previously consolidated and therefore deconsolidated those products. The deconsolidation in the three months ended March 31, 2026 resulted in a decrease in cash and cash equivalents of $29.7 million compared to a decrease of $37.0 million in three months ended March 31, 2025.</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Certain Contractual Obligations</w:t>
      </w:r>
    </w:p>
    <w:p>
      <w:pPr>
        <w:spacing w:after="0" w:line="115" w:lineRule="exact"/>
        <w:rPr>
          <w:sz w:val="20"/>
          <w:szCs w:val="20"/>
          <w:color w:val="auto"/>
        </w:rPr>
      </w:pPr>
    </w:p>
    <w:p>
      <w:pPr>
        <w:ind w:right="40"/>
        <w:spacing w:after="0" w:line="272" w:lineRule="auto"/>
        <w:rPr>
          <w:sz w:val="20"/>
          <w:szCs w:val="20"/>
          <w:color w:val="auto"/>
        </w:rPr>
      </w:pPr>
      <w:r>
        <w:rPr>
          <w:rFonts w:ascii="Times New Roman" w:cs="Times New Roman" w:eastAsia="Times New Roman" w:hAnsi="Times New Roman"/>
          <w:sz w:val="16"/>
          <w:szCs w:val="16"/>
          <w:color w:val="auto"/>
        </w:rPr>
        <w:t>As of March 31, 2026, there have been no material changes to our contractual obligations outside the ordinary course of business from those disclosed in the “Liquidity, Capital Resources and Contractual Obligations” section and the related notes in our Annual Report on Form 10-K for the year ended December 31, 2025, filed with the SEC on February 20, 2026.</w:t>
      </w:r>
    </w:p>
    <w:p>
      <w:pPr>
        <w:spacing w:after="0" w:line="63" w:lineRule="exact"/>
        <w:rPr>
          <w:sz w:val="20"/>
          <w:szCs w:val="20"/>
          <w:color w:val="auto"/>
        </w:rPr>
      </w:pPr>
    </w:p>
    <w:p>
      <w:pPr>
        <w:ind w:right="120"/>
        <w:spacing w:after="0" w:line="260" w:lineRule="auto"/>
        <w:rPr>
          <w:sz w:val="20"/>
          <w:szCs w:val="20"/>
          <w:color w:val="auto"/>
        </w:rPr>
      </w:pPr>
      <w:r>
        <w:rPr>
          <w:rFonts w:ascii="Times New Roman" w:cs="Times New Roman" w:eastAsia="Times New Roman" w:hAnsi="Times New Roman"/>
          <w:sz w:val="16"/>
          <w:szCs w:val="16"/>
          <w:color w:val="auto"/>
        </w:rPr>
        <w:t>As previously discussed in this report, the TRA liability increased from $303.4 million at December 31, 2025 to $305.2 million at March 31, 2026. Amounts payable under the TRAs will increase upon exchanges of Holdings units for our Class A common stock or sales of Holdings units to us, with the increase representing 85% of the estimated future tax benefits, if any, resulting from such exchanges or sales and decrease when payments are made. The actual amount and timing of payments associated with our existing payable under the TRAs or future exchanges or sales, and associated tax benefits, will vary depending upon a number of factors as described under “Liquidity and Capital Resources.” As a result, the timing of payments by period is currently unknown. We did not make payments related to the TRA during the three months ended March 31, 2026. In fiscal 2026, we expect to make TRA payments totaling approximately $40.4 million, $30.3 million of which was paid during April 2026.</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Critical Accounting Policies and Estimates</w:t>
      </w:r>
    </w:p>
    <w:p>
      <w:pPr>
        <w:spacing w:after="0" w:line="115" w:lineRule="exact"/>
        <w:rPr>
          <w:sz w:val="20"/>
          <w:szCs w:val="20"/>
          <w:color w:val="auto"/>
        </w:rPr>
      </w:pPr>
    </w:p>
    <w:p>
      <w:pPr>
        <w:ind w:right="560"/>
        <w:spacing w:after="0" w:line="280" w:lineRule="auto"/>
        <w:rPr>
          <w:sz w:val="20"/>
          <w:szCs w:val="20"/>
          <w:color w:val="auto"/>
        </w:rPr>
      </w:pPr>
      <w:r>
        <w:rPr>
          <w:rFonts w:ascii="Times New Roman" w:cs="Times New Roman" w:eastAsia="Times New Roman" w:hAnsi="Times New Roman"/>
          <w:sz w:val="16"/>
          <w:szCs w:val="16"/>
          <w:color w:val="auto"/>
        </w:rPr>
        <w:t>There have been no updates to our critical accounting policies from those disclosed in Management’s Discussion and Analysis of Financial Condition and Results of Operations in our Form 10-K for the year ended December 31, 2025.</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New or Revised Accounting Standards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Item 3. Quantitative and Qualitative Disclosures About Market Risk</w:t>
      </w:r>
    </w:p>
    <w:p>
      <w:pPr>
        <w:spacing w:after="0" w:line="115" w:lineRule="exact"/>
        <w:rPr>
          <w:sz w:val="20"/>
          <w:szCs w:val="20"/>
          <w:color w:val="auto"/>
        </w:rPr>
      </w:pPr>
    </w:p>
    <w:p>
      <w:pPr>
        <w:ind w:right="260"/>
        <w:spacing w:after="0" w:line="298" w:lineRule="auto"/>
        <w:rPr>
          <w:sz w:val="20"/>
          <w:szCs w:val="20"/>
          <w:color w:val="auto"/>
        </w:rPr>
      </w:pPr>
      <w:r>
        <w:rPr>
          <w:rFonts w:ascii="Times New Roman" w:cs="Times New Roman" w:eastAsia="Times New Roman" w:hAnsi="Times New Roman"/>
          <w:sz w:val="16"/>
          <w:szCs w:val="16"/>
          <w:color w:val="auto"/>
        </w:rPr>
        <w:t>There have been no material changes in our Quantitative and Qualitative Disclosures About Market Risk from those previously reported in our Form 10-K for the year ended December 31, 2025.</w:t>
      </w:r>
    </w:p>
    <w:p>
      <w:pPr>
        <w:spacing w:after="0" w:line="4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Item 4. Controls and Procedures</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Disclosure Controls and Procedures</w:t>
      </w:r>
    </w:p>
    <w:p>
      <w:pPr>
        <w:spacing w:after="0" w:line="117" w:lineRule="exact"/>
        <w:rPr>
          <w:sz w:val="20"/>
          <w:szCs w:val="20"/>
          <w:color w:val="auto"/>
        </w:rPr>
      </w:pPr>
    </w:p>
    <w:p>
      <w:pPr>
        <w:ind w:right="160"/>
        <w:spacing w:after="0" w:line="263" w:lineRule="auto"/>
        <w:rPr>
          <w:sz w:val="20"/>
          <w:szCs w:val="20"/>
          <w:color w:val="auto"/>
        </w:rPr>
      </w:pPr>
      <w:r>
        <w:rPr>
          <w:rFonts w:ascii="Times New Roman" w:cs="Times New Roman" w:eastAsia="Times New Roman" w:hAnsi="Times New Roman"/>
          <w:sz w:val="16"/>
          <w:szCs w:val="16"/>
          <w:color w:val="auto"/>
        </w:rPr>
        <w:t>We maintain disclosure controls and procedures, as defined in Rules 13a-15(e) and 15d-15(e) of the Securities Exchange Act of 1934, that are designed to ensure that information required to be disclosed in our reports filed or submitted under the Exchange Act is recorded, processed, summarized and reported within the time periods specified in the SEC’s rules and forms, and that such information is accumulated and communicated to our management, including our principal executive and principal financial officers, as appropriate, to allow for timely decisions regarding required disclosure.</w:t>
      </w:r>
    </w:p>
    <w:p>
      <w:pPr>
        <w:spacing w:after="0" w:line="85" w:lineRule="exact"/>
        <w:rPr>
          <w:sz w:val="20"/>
          <w:szCs w:val="20"/>
          <w:color w:val="auto"/>
        </w:rPr>
      </w:pPr>
    </w:p>
    <w:p>
      <w:pPr>
        <w:spacing w:after="0" w:line="263" w:lineRule="auto"/>
        <w:rPr>
          <w:sz w:val="20"/>
          <w:szCs w:val="20"/>
          <w:color w:val="auto"/>
        </w:rPr>
      </w:pPr>
      <w:r>
        <w:rPr>
          <w:rFonts w:ascii="Times New Roman" w:cs="Times New Roman" w:eastAsia="Times New Roman" w:hAnsi="Times New Roman"/>
          <w:sz w:val="16"/>
          <w:szCs w:val="16"/>
          <w:color w:val="auto"/>
        </w:rPr>
        <w:t>Our management, including our Chief Executive Officer and Chief Financial Officer, evaluated the effectiveness of our disclosure controls and procedures (as such term is defined in Rules 13a-15(e) and 15d-15(e) under the Exchange Act) at March 31, 2026. Based on this evaluation, our Chief Executive Officer and Chief Financial Officer have concluded that our disclosure controls and procedures are effective.</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Changes in Internal Control over Financial Reporting</w:t>
      </w:r>
    </w:p>
    <w:p>
      <w:pPr>
        <w:spacing w:after="0" w:line="117" w:lineRule="exact"/>
        <w:rPr>
          <w:sz w:val="20"/>
          <w:szCs w:val="20"/>
          <w:color w:val="auto"/>
        </w:rPr>
      </w:pPr>
    </w:p>
    <w:p>
      <w:pPr>
        <w:ind w:right="400"/>
        <w:spacing w:after="0" w:line="280" w:lineRule="auto"/>
        <w:rPr>
          <w:sz w:val="20"/>
          <w:szCs w:val="20"/>
          <w:color w:val="auto"/>
        </w:rPr>
      </w:pPr>
      <w:r>
        <w:rPr>
          <w:rFonts w:ascii="Times New Roman" w:cs="Times New Roman" w:eastAsia="Times New Roman" w:hAnsi="Times New Roman"/>
          <w:sz w:val="16"/>
          <w:szCs w:val="16"/>
          <w:color w:val="auto"/>
        </w:rPr>
        <w:t>There have been no changes in internal control over financial reporting (as such term is defined in Rule 13a-15(f) under the Exchange Act), during the quarter ended March 31, 2026 that have materially affected, or are reasonably likely to materially affect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80"/>
          </w:cols>
          <w:pgMar w:left="320" w:top="118" w:right="49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Part II — Other Information</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Item 1. Legal Proceedings</w:t>
      </w:r>
    </w:p>
    <w:p>
      <w:pPr>
        <w:spacing w:after="0" w:line="129" w:lineRule="exact"/>
        <w:rPr>
          <w:sz w:val="20"/>
          <w:szCs w:val="20"/>
          <w:color w:val="auto"/>
        </w:rPr>
      </w:pPr>
    </w:p>
    <w:p>
      <w:pPr>
        <w:ind w:right="580"/>
        <w:spacing w:after="0" w:line="280" w:lineRule="auto"/>
        <w:rPr>
          <w:sz w:val="20"/>
          <w:szCs w:val="20"/>
          <w:color w:val="auto"/>
        </w:rPr>
      </w:pPr>
      <w:r>
        <w:rPr>
          <w:rFonts w:ascii="Times New Roman" w:cs="Times New Roman" w:eastAsia="Times New Roman" w:hAnsi="Times New Roman"/>
          <w:sz w:val="16"/>
          <w:szCs w:val="16"/>
          <w:color w:val="auto"/>
        </w:rPr>
        <w:t>In the normal course of business, we may be subject to various legal and administrative proceedings. Currently, there are no legal or administrative proceedings that management believes may have a material adverse effect on our consolidated financial position, cash flows or results of operations.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Item 1A. Risk Factors</w:t>
      </w:r>
    </w:p>
    <w:p>
      <w:pPr>
        <w:spacing w:after="0" w:line="115" w:lineRule="exact"/>
        <w:rPr>
          <w:sz w:val="20"/>
          <w:szCs w:val="20"/>
          <w:color w:val="auto"/>
        </w:rPr>
      </w:pPr>
    </w:p>
    <w:p>
      <w:pPr>
        <w:ind w:right="80"/>
        <w:spacing w:after="0" w:line="280" w:lineRule="auto"/>
        <w:rPr>
          <w:sz w:val="20"/>
          <w:szCs w:val="20"/>
          <w:color w:val="auto"/>
        </w:rPr>
      </w:pPr>
      <w:r>
        <w:rPr>
          <w:rFonts w:ascii="Times New Roman" w:cs="Times New Roman" w:eastAsia="Times New Roman" w:hAnsi="Times New Roman"/>
          <w:sz w:val="16"/>
          <w:szCs w:val="16"/>
          <w:color w:val="auto"/>
        </w:rPr>
        <w:t xml:space="preserve">For a discussion of related and other potential risks and uncertainties, see the information under the heading “Risk Factors” in our latest annual report on Form 10-K, which is accessible on the SEC’s website at </w:t>
      </w:r>
      <w:r>
        <w:rPr>
          <w:rFonts w:ascii="Times New Roman" w:cs="Times New Roman" w:eastAsia="Times New Roman" w:hAnsi="Times New Roman"/>
          <w:sz w:val="16"/>
          <w:szCs w:val="16"/>
          <w:u w:val="single" w:color="auto"/>
          <w:color w:val="0000FF"/>
        </w:rPr>
        <w:t>www.sec.gov</w:t>
      </w:r>
      <w:r>
        <w:rPr>
          <w:rFonts w:ascii="Times New Roman" w:cs="Times New Roman" w:eastAsia="Times New Roman" w:hAnsi="Times New Roman"/>
          <w:sz w:val="16"/>
          <w:szCs w:val="16"/>
          <w:color w:val="auto"/>
        </w:rPr>
        <w:t>.</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Item 2. Unregistered Sales of Equity Securities and Use of Proceeds</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Unregistered Sales of Equity Securities</w:t>
      </w:r>
    </w:p>
    <w:p>
      <w:pPr>
        <w:spacing w:after="0" w:line="129" w:lineRule="exact"/>
        <w:rPr>
          <w:sz w:val="20"/>
          <w:szCs w:val="20"/>
          <w:color w:val="auto"/>
        </w:rPr>
      </w:pPr>
    </w:p>
    <w:p>
      <w:pPr>
        <w:spacing w:after="0" w:line="259" w:lineRule="auto"/>
        <w:rPr>
          <w:sz w:val="20"/>
          <w:szCs w:val="20"/>
          <w:color w:val="auto"/>
        </w:rPr>
      </w:pPr>
      <w:r>
        <w:rPr>
          <w:rFonts w:ascii="Times New Roman" w:cs="Times New Roman" w:eastAsia="Times New Roman" w:hAnsi="Times New Roman"/>
          <w:sz w:val="16"/>
          <w:szCs w:val="16"/>
          <w:color w:val="auto"/>
        </w:rPr>
        <w:t>As described in Note 9, “Stockholders’ Equity”, to the unaudited consolidated financial statements included in Part I of this report, upon termination of employment with Artisan, an employee-partner’s Class B common units are exchanged for Class E common units and the corresponding shares of APAM Class B common stock are canceled. APAM issues the former employee-partner a number of shares of APAM Class C common stock equal to the former employee-partner’s number of Class E common units. Class E common units are exchangeable for Class A common stock subject to the same restrictions and limitations on exchange applicable to the other common units of Holdings. There were no such instances during the three months ended March 31, 2026.</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Item 3. Defaults Upon Senior Securities</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None.</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Item 4. Mine Safety Disclosures</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Not applicable</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Item 5. Other Information</w:t>
      </w:r>
    </w:p>
    <w:p>
      <w:pPr>
        <w:spacing w:after="0" w:line="115" w:lineRule="exact"/>
        <w:rPr>
          <w:sz w:val="20"/>
          <w:szCs w:val="20"/>
          <w:color w:val="auto"/>
        </w:rPr>
      </w:pPr>
    </w:p>
    <w:p>
      <w:pPr>
        <w:ind w:left="220" w:hanging="212"/>
        <w:spacing w:after="0"/>
        <w:tabs>
          <w:tab w:leader="none" w:pos="220" w:val="left"/>
        </w:tabs>
        <w:numPr>
          <w:ilvl w:val="0"/>
          <w:numId w:val="2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None.</w:t>
      </w:r>
    </w:p>
    <w:p>
      <w:pPr>
        <w:spacing w:after="0" w:line="126" w:lineRule="exact"/>
        <w:rPr>
          <w:rFonts w:ascii="Times New Roman" w:cs="Times New Roman" w:eastAsia="Times New Roman" w:hAnsi="Times New Roman"/>
          <w:sz w:val="16"/>
          <w:szCs w:val="16"/>
          <w:color w:val="auto"/>
        </w:rPr>
      </w:pPr>
    </w:p>
    <w:p>
      <w:pPr>
        <w:ind w:left="240" w:hanging="232"/>
        <w:spacing w:after="0"/>
        <w:tabs>
          <w:tab w:leader="none" w:pos="240" w:val="left"/>
        </w:tabs>
        <w:numPr>
          <w:ilvl w:val="0"/>
          <w:numId w:val="2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None.</w:t>
      </w:r>
    </w:p>
    <w:p>
      <w:pPr>
        <w:spacing w:after="0" w:line="113" w:lineRule="exact"/>
        <w:rPr>
          <w:rFonts w:ascii="Times New Roman" w:cs="Times New Roman" w:eastAsia="Times New Roman" w:hAnsi="Times New Roman"/>
          <w:sz w:val="16"/>
          <w:szCs w:val="16"/>
          <w:color w:val="auto"/>
        </w:rPr>
      </w:pPr>
    </w:p>
    <w:p>
      <w:pPr>
        <w:ind w:right="300" w:firstLine="8"/>
        <w:spacing w:after="0" w:line="298" w:lineRule="auto"/>
        <w:tabs>
          <w:tab w:leader="none" w:pos="220" w:val="left"/>
        </w:tabs>
        <w:numPr>
          <w:ilvl w:val="0"/>
          <w:numId w:val="2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During the quarter ended March 31, 2026, no director or officer (as defined in Rule 16a-1(f) under the Exchange Act) of the Company adopted or terminated a “Rule 10b5-1 trading arrangement” or “non-Rule 10b5-1 trading arrangement” as each term is defined in Item 408 of Regulation S-K.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5960" w:type="dxa"/>
            <w:vAlign w:val="bottom"/>
            <w:gridSpan w:val="10"/>
          </w:tcPr>
          <w:p>
            <w:pPr>
              <w:spacing w:after="0"/>
              <w:rPr>
                <w:sz w:val="20"/>
                <w:szCs w:val="20"/>
                <w:color w:val="auto"/>
              </w:rPr>
            </w:pPr>
            <w:r>
              <w:rPr>
                <w:rFonts w:ascii="Times New Roman" w:cs="Times New Roman" w:eastAsia="Times New Roman" w:hAnsi="Times New Roman"/>
                <w:sz w:val="16"/>
                <w:szCs w:val="16"/>
                <w:b w:val="1"/>
                <w:bCs w:val="1"/>
                <w:color w:val="auto"/>
              </w:rPr>
              <w:t>Item 6. Exhibits</w:t>
            </w:r>
          </w:p>
        </w:tc>
        <w:tc>
          <w:tcPr>
            <w:tcW w:w="8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1"/>
        </w:trPr>
        <w:tc>
          <w:tcPr>
            <w:tcW w:w="980" w:type="dxa"/>
            <w:vAlign w:val="bottom"/>
            <w:vMerge w:val="restart"/>
          </w:tcPr>
          <w:p>
            <w:pPr>
              <w:ind w:left="160"/>
              <w:spacing w:after="0"/>
              <w:rPr>
                <w:sz w:val="20"/>
                <w:szCs w:val="20"/>
                <w:color w:val="auto"/>
              </w:rPr>
            </w:pPr>
            <w:r>
              <w:rPr>
                <w:rFonts w:ascii="Times New Roman" w:cs="Times New Roman" w:eastAsia="Times New Roman" w:hAnsi="Times New Roman"/>
                <w:sz w:val="16"/>
                <w:szCs w:val="16"/>
                <w:b w:val="1"/>
                <w:bCs w:val="1"/>
                <w:color w:val="auto"/>
              </w:rPr>
              <w:t>Exhibit</w:t>
            </w:r>
          </w:p>
        </w:tc>
        <w:tc>
          <w:tcPr>
            <w:tcW w:w="120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960" w:type="dxa"/>
            <w:vAlign w:val="bottom"/>
          </w:tcPr>
          <w:p>
            <w:pPr>
              <w:jc w:val="center"/>
              <w:ind w:left="159"/>
              <w:spacing w:after="0" w:line="181" w:lineRule="exact"/>
              <w:rPr>
                <w:sz w:val="20"/>
                <w:szCs w:val="20"/>
                <w:color w:val="auto"/>
              </w:rPr>
            </w:pPr>
            <w:r>
              <w:rPr>
                <w:rFonts w:ascii="Times New Roman" w:cs="Times New Roman" w:eastAsia="Times New Roman" w:hAnsi="Times New Roman"/>
                <w:sz w:val="16"/>
                <w:szCs w:val="16"/>
                <w:b w:val="1"/>
                <w:bCs w:val="1"/>
                <w:color w:val="auto"/>
              </w:rPr>
              <w:t>Filed or</w:t>
            </w:r>
          </w:p>
        </w:tc>
        <w:tc>
          <w:tcPr>
            <w:tcW w:w="0" w:type="dxa"/>
            <w:vAlign w:val="bottom"/>
          </w:tcPr>
          <w:p>
            <w:pPr>
              <w:spacing w:after="0"/>
              <w:rPr>
                <w:sz w:val="1"/>
                <w:szCs w:val="1"/>
                <w:color w:val="auto"/>
              </w:rPr>
            </w:pPr>
          </w:p>
        </w:tc>
      </w:tr>
      <w:tr>
        <w:trPr>
          <w:trHeight w:val="162"/>
        </w:trPr>
        <w:tc>
          <w:tcPr>
            <w:tcW w:w="980" w:type="dxa"/>
            <w:vAlign w:val="bottom"/>
            <w:vMerge w:val="continue"/>
          </w:tcPr>
          <w:p>
            <w:pPr>
              <w:spacing w:after="0"/>
              <w:rPr>
                <w:sz w:val="14"/>
                <w:szCs w:val="14"/>
                <w:color w:val="auto"/>
              </w:rPr>
            </w:pPr>
          </w:p>
        </w:tc>
        <w:tc>
          <w:tcPr>
            <w:tcW w:w="1200" w:type="dxa"/>
            <w:vAlign w:val="bottom"/>
          </w:tcPr>
          <w:p>
            <w:pPr>
              <w:spacing w:after="0"/>
              <w:rPr>
                <w:sz w:val="14"/>
                <w:szCs w:val="14"/>
                <w:color w:val="auto"/>
              </w:rPr>
            </w:pPr>
          </w:p>
        </w:tc>
        <w:tc>
          <w:tcPr>
            <w:tcW w:w="3780" w:type="dxa"/>
            <w:vAlign w:val="bottom"/>
            <w:gridSpan w:val="8"/>
            <w:vMerge w:val="restart"/>
          </w:tcPr>
          <w:p>
            <w:pPr>
              <w:ind w:left="820"/>
              <w:spacing w:after="0"/>
              <w:rPr>
                <w:sz w:val="20"/>
                <w:szCs w:val="20"/>
                <w:color w:val="auto"/>
              </w:rPr>
            </w:pPr>
            <w:r>
              <w:rPr>
                <w:rFonts w:ascii="Times New Roman" w:cs="Times New Roman" w:eastAsia="Times New Roman" w:hAnsi="Times New Roman"/>
                <w:sz w:val="16"/>
                <w:szCs w:val="16"/>
                <w:b w:val="1"/>
                <w:bCs w:val="1"/>
                <w:color w:val="auto"/>
              </w:rPr>
              <w:t>Description</w:t>
            </w:r>
          </w:p>
        </w:tc>
        <w:tc>
          <w:tcPr>
            <w:tcW w:w="800" w:type="dxa"/>
            <w:vAlign w:val="bottom"/>
            <w:vMerge w:val="restart"/>
          </w:tcPr>
          <w:p>
            <w:pPr>
              <w:ind w:left="140"/>
              <w:spacing w:after="0"/>
              <w:rPr>
                <w:sz w:val="20"/>
                <w:szCs w:val="20"/>
                <w:color w:val="auto"/>
              </w:rPr>
            </w:pPr>
            <w:r>
              <w:rPr>
                <w:rFonts w:ascii="Times New Roman" w:cs="Times New Roman" w:eastAsia="Times New Roman" w:hAnsi="Times New Roman"/>
                <w:sz w:val="16"/>
                <w:szCs w:val="16"/>
                <w:b w:val="1"/>
                <w:bCs w:val="1"/>
                <w:color w:val="auto"/>
              </w:rPr>
              <w:t>Form</w:t>
            </w:r>
          </w:p>
        </w:tc>
        <w:tc>
          <w:tcPr>
            <w:tcW w:w="1060" w:type="dxa"/>
            <w:vAlign w:val="bottom"/>
            <w:vMerge w:val="restart"/>
          </w:tcPr>
          <w:p>
            <w:pPr>
              <w:ind w:left="240"/>
              <w:spacing w:after="0"/>
              <w:rPr>
                <w:sz w:val="20"/>
                <w:szCs w:val="20"/>
                <w:color w:val="auto"/>
              </w:rPr>
            </w:pPr>
            <w:r>
              <w:rPr>
                <w:rFonts w:ascii="Times New Roman" w:cs="Times New Roman" w:eastAsia="Times New Roman" w:hAnsi="Times New Roman"/>
                <w:sz w:val="16"/>
                <w:szCs w:val="16"/>
                <w:b w:val="1"/>
                <w:bCs w:val="1"/>
                <w:color w:val="auto"/>
              </w:rPr>
              <w:t>File No.</w:t>
            </w:r>
          </w:p>
        </w:tc>
        <w:tc>
          <w:tcPr>
            <w:tcW w:w="1020" w:type="dxa"/>
            <w:vAlign w:val="bottom"/>
            <w:vMerge w:val="restart"/>
          </w:tcPr>
          <w:p>
            <w:pPr>
              <w:ind w:left="260"/>
              <w:spacing w:after="0"/>
              <w:rPr>
                <w:sz w:val="20"/>
                <w:szCs w:val="20"/>
                <w:color w:val="auto"/>
              </w:rPr>
            </w:pPr>
            <w:r>
              <w:rPr>
                <w:rFonts w:ascii="Times New Roman" w:cs="Times New Roman" w:eastAsia="Times New Roman" w:hAnsi="Times New Roman"/>
                <w:sz w:val="16"/>
                <w:szCs w:val="16"/>
                <w:b w:val="1"/>
                <w:bCs w:val="1"/>
                <w:color w:val="auto"/>
              </w:rPr>
              <w:t>Exhibit</w:t>
            </w:r>
          </w:p>
        </w:tc>
        <w:tc>
          <w:tcPr>
            <w:tcW w:w="1260" w:type="dxa"/>
            <w:vAlign w:val="bottom"/>
            <w:vMerge w:val="restart"/>
          </w:tcPr>
          <w:p>
            <w:pPr>
              <w:ind w:left="240"/>
              <w:spacing w:after="0"/>
              <w:rPr>
                <w:sz w:val="20"/>
                <w:szCs w:val="20"/>
                <w:color w:val="auto"/>
              </w:rPr>
            </w:pPr>
            <w:r>
              <w:rPr>
                <w:rFonts w:ascii="Times New Roman" w:cs="Times New Roman" w:eastAsia="Times New Roman" w:hAnsi="Times New Roman"/>
                <w:sz w:val="16"/>
                <w:szCs w:val="16"/>
                <w:b w:val="1"/>
                <w:bCs w:val="1"/>
                <w:color w:val="auto"/>
              </w:rPr>
              <w:t>Filing Date</w:t>
            </w:r>
          </w:p>
        </w:tc>
        <w:tc>
          <w:tcPr>
            <w:tcW w:w="960" w:type="dxa"/>
            <w:vAlign w:val="bottom"/>
          </w:tcPr>
          <w:p>
            <w:pPr>
              <w:jc w:val="center"/>
              <w:ind w:left="159"/>
              <w:spacing w:after="0" w:line="162" w:lineRule="exact"/>
              <w:rPr>
                <w:sz w:val="20"/>
                <w:szCs w:val="20"/>
                <w:color w:val="auto"/>
              </w:rPr>
            </w:pPr>
            <w:r>
              <w:rPr>
                <w:rFonts w:ascii="Times New Roman" w:cs="Times New Roman" w:eastAsia="Times New Roman" w:hAnsi="Times New Roman"/>
                <w:sz w:val="16"/>
                <w:szCs w:val="16"/>
                <w:b w:val="1"/>
                <w:bCs w:val="1"/>
                <w:color w:val="auto"/>
              </w:rPr>
              <w:t>Furnished</w:t>
            </w:r>
          </w:p>
        </w:tc>
        <w:tc>
          <w:tcPr>
            <w:tcW w:w="0" w:type="dxa"/>
            <w:vAlign w:val="bottom"/>
          </w:tcPr>
          <w:p>
            <w:pPr>
              <w:spacing w:after="0"/>
              <w:rPr>
                <w:sz w:val="1"/>
                <w:szCs w:val="1"/>
                <w:color w:val="auto"/>
              </w:rPr>
            </w:pPr>
          </w:p>
        </w:tc>
      </w:tr>
      <w:tr>
        <w:trPr>
          <w:trHeight w:val="212"/>
        </w:trPr>
        <w:tc>
          <w:tcPr>
            <w:tcW w:w="980" w:type="dxa"/>
            <w:vAlign w:val="bottom"/>
          </w:tcPr>
          <w:p>
            <w:pPr>
              <w:ind w:left="300"/>
              <w:spacing w:after="0"/>
              <w:rPr>
                <w:sz w:val="20"/>
                <w:szCs w:val="20"/>
                <w:color w:val="auto"/>
              </w:rPr>
            </w:pPr>
            <w:r>
              <w:rPr>
                <w:rFonts w:ascii="Times New Roman" w:cs="Times New Roman" w:eastAsia="Times New Roman" w:hAnsi="Times New Roman"/>
                <w:sz w:val="16"/>
                <w:szCs w:val="16"/>
                <w:b w:val="1"/>
                <w:bCs w:val="1"/>
                <w:color w:val="auto"/>
              </w:rPr>
              <w:t>No.</w:t>
            </w:r>
          </w:p>
        </w:tc>
        <w:tc>
          <w:tcPr>
            <w:tcW w:w="1200" w:type="dxa"/>
            <w:vAlign w:val="bottom"/>
          </w:tcPr>
          <w:p>
            <w:pPr>
              <w:spacing w:after="0"/>
              <w:rPr>
                <w:sz w:val="18"/>
                <w:szCs w:val="18"/>
                <w:color w:val="auto"/>
              </w:rPr>
            </w:pPr>
          </w:p>
        </w:tc>
        <w:tc>
          <w:tcPr>
            <w:tcW w:w="3780" w:type="dxa"/>
            <w:vAlign w:val="bottom"/>
            <w:gridSpan w:val="8"/>
            <w:vMerge w:val="continue"/>
          </w:tcPr>
          <w:p>
            <w:pPr>
              <w:spacing w:after="0"/>
              <w:rPr>
                <w:sz w:val="18"/>
                <w:szCs w:val="18"/>
                <w:color w:val="auto"/>
              </w:rPr>
            </w:pPr>
          </w:p>
        </w:tc>
        <w:tc>
          <w:tcPr>
            <w:tcW w:w="800" w:type="dxa"/>
            <w:vAlign w:val="bottom"/>
            <w:vMerge w:val="continue"/>
          </w:tcPr>
          <w:p>
            <w:pPr>
              <w:spacing w:after="0"/>
              <w:rPr>
                <w:sz w:val="18"/>
                <w:szCs w:val="18"/>
                <w:color w:val="auto"/>
              </w:rPr>
            </w:pPr>
          </w:p>
        </w:tc>
        <w:tc>
          <w:tcPr>
            <w:tcW w:w="1060" w:type="dxa"/>
            <w:vAlign w:val="bottom"/>
            <w:vMerge w:val="continue"/>
          </w:tcPr>
          <w:p>
            <w:pPr>
              <w:spacing w:after="0"/>
              <w:rPr>
                <w:sz w:val="18"/>
                <w:szCs w:val="18"/>
                <w:color w:val="auto"/>
              </w:rPr>
            </w:pPr>
          </w:p>
        </w:tc>
        <w:tc>
          <w:tcPr>
            <w:tcW w:w="1020" w:type="dxa"/>
            <w:vAlign w:val="bottom"/>
            <w:vMerge w:val="continue"/>
          </w:tcPr>
          <w:p>
            <w:pPr>
              <w:spacing w:after="0"/>
              <w:rPr>
                <w:sz w:val="18"/>
                <w:szCs w:val="18"/>
                <w:color w:val="auto"/>
              </w:rPr>
            </w:pPr>
          </w:p>
        </w:tc>
        <w:tc>
          <w:tcPr>
            <w:tcW w:w="1260" w:type="dxa"/>
            <w:vAlign w:val="bottom"/>
            <w:vMerge w:val="continue"/>
          </w:tcPr>
          <w:p>
            <w:pPr>
              <w:spacing w:after="0"/>
              <w:rPr>
                <w:sz w:val="18"/>
                <w:szCs w:val="18"/>
                <w:color w:val="auto"/>
              </w:rPr>
            </w:pPr>
          </w:p>
        </w:tc>
        <w:tc>
          <w:tcPr>
            <w:tcW w:w="960" w:type="dxa"/>
            <w:vAlign w:val="bottom"/>
          </w:tcPr>
          <w:p>
            <w:pPr>
              <w:jc w:val="center"/>
              <w:ind w:left="159"/>
              <w:spacing w:after="0"/>
              <w:rPr>
                <w:sz w:val="20"/>
                <w:szCs w:val="20"/>
                <w:color w:val="auto"/>
              </w:rPr>
            </w:pPr>
            <w:r>
              <w:rPr>
                <w:rFonts w:ascii="Times New Roman" w:cs="Times New Roman" w:eastAsia="Times New Roman" w:hAnsi="Times New Roman"/>
                <w:sz w:val="16"/>
                <w:szCs w:val="16"/>
                <w:b w:val="1"/>
                <w:bCs w:val="1"/>
                <w:color w:val="auto"/>
                <w:w w:val="99"/>
              </w:rPr>
              <w:t>Herewith</w:t>
            </w:r>
          </w:p>
        </w:tc>
        <w:tc>
          <w:tcPr>
            <w:tcW w:w="0" w:type="dxa"/>
            <w:vAlign w:val="bottom"/>
          </w:tcPr>
          <w:p>
            <w:pPr>
              <w:spacing w:after="0"/>
              <w:rPr>
                <w:sz w:val="1"/>
                <w:szCs w:val="1"/>
                <w:color w:val="auto"/>
              </w:rPr>
            </w:pPr>
          </w:p>
        </w:tc>
      </w:tr>
      <w:tr>
        <w:trPr>
          <w:trHeight w:val="179"/>
        </w:trPr>
        <w:tc>
          <w:tcPr>
            <w:tcW w:w="980" w:type="dxa"/>
            <w:vAlign w:val="bottom"/>
            <w:vMerge w:val="restart"/>
          </w:tcPr>
          <w:p>
            <w:pPr>
              <w:ind w:left="20"/>
              <w:spacing w:after="0"/>
              <w:rPr>
                <w:sz w:val="20"/>
                <w:szCs w:val="20"/>
                <w:color w:val="auto"/>
              </w:rPr>
            </w:pPr>
            <w:r>
              <w:rPr>
                <w:rFonts w:ascii="Times New Roman" w:cs="Times New Roman" w:eastAsia="Times New Roman" w:hAnsi="Times New Roman"/>
                <w:sz w:val="16"/>
                <w:szCs w:val="16"/>
                <w:color w:val="auto"/>
              </w:rPr>
              <w:t>31.1</w:t>
            </w:r>
          </w:p>
        </w:tc>
        <w:tc>
          <w:tcPr>
            <w:tcW w:w="4980" w:type="dxa"/>
            <w:vAlign w:val="bottom"/>
            <w:gridSpan w:val="9"/>
          </w:tcPr>
          <w:p>
            <w:pPr>
              <w:spacing w:after="0" w:line="179" w:lineRule="exact"/>
              <w:rPr>
                <w:sz w:val="20"/>
                <w:szCs w:val="20"/>
                <w:color w:val="auto"/>
              </w:rPr>
            </w:pPr>
            <w:r>
              <w:rPr>
                <w:rFonts w:ascii="Times New Roman" w:cs="Times New Roman" w:eastAsia="Times New Roman" w:hAnsi="Times New Roman"/>
                <w:sz w:val="16"/>
                <w:szCs w:val="16"/>
                <w:color w:val="0000FF"/>
              </w:rPr>
              <w:t>Certification of the Company’s Chief Executive Officer pursuant to</w:t>
            </w:r>
          </w:p>
        </w:tc>
        <w:tc>
          <w:tcPr>
            <w:tcW w:w="8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960" w:type="dxa"/>
            <w:vAlign w:val="bottom"/>
            <w:vMerge w:val="restart"/>
          </w:tcPr>
          <w:p>
            <w:pPr>
              <w:jc w:val="center"/>
              <w:ind w:left="159"/>
              <w:spacing w:after="0"/>
              <w:rPr>
                <w:sz w:val="20"/>
                <w:szCs w:val="20"/>
                <w:color w:val="auto"/>
              </w:rPr>
            </w:pPr>
            <w:r>
              <w:rPr>
                <w:rFonts w:ascii="Times New Roman" w:cs="Times New Roman" w:eastAsia="Times New Roman" w:hAnsi="Times New Roman"/>
                <w:sz w:val="16"/>
                <w:szCs w:val="16"/>
                <w:color w:val="auto"/>
              </w:rPr>
              <w:t>X</w:t>
            </w:r>
          </w:p>
        </w:tc>
        <w:tc>
          <w:tcPr>
            <w:tcW w:w="0" w:type="dxa"/>
            <w:vAlign w:val="bottom"/>
          </w:tcPr>
          <w:p>
            <w:pPr>
              <w:spacing w:after="0"/>
              <w:rPr>
                <w:sz w:val="1"/>
                <w:szCs w:val="1"/>
                <w:color w:val="auto"/>
              </w:rPr>
            </w:pPr>
          </w:p>
        </w:tc>
      </w:tr>
      <w:tr>
        <w:trPr>
          <w:trHeight w:val="142"/>
        </w:trPr>
        <w:tc>
          <w:tcPr>
            <w:tcW w:w="980" w:type="dxa"/>
            <w:vAlign w:val="bottom"/>
            <w:vMerge w:val="continue"/>
          </w:tcPr>
          <w:p>
            <w:pPr>
              <w:spacing w:after="0"/>
              <w:rPr>
                <w:sz w:val="12"/>
                <w:szCs w:val="12"/>
                <w:color w:val="auto"/>
              </w:rPr>
            </w:pPr>
          </w:p>
        </w:tc>
        <w:tc>
          <w:tcPr>
            <w:tcW w:w="4360" w:type="dxa"/>
            <w:vAlign w:val="bottom"/>
            <w:tcBorders>
              <w:top w:val="single" w:sz="8" w:color="0000FF"/>
            </w:tcBorders>
            <w:gridSpan w:val="4"/>
          </w:tcPr>
          <w:p>
            <w:pPr>
              <w:spacing w:after="0" w:line="142" w:lineRule="exact"/>
              <w:rPr>
                <w:sz w:val="20"/>
                <w:szCs w:val="20"/>
                <w:color w:val="auto"/>
              </w:rPr>
            </w:pPr>
            <w:r>
              <w:rPr>
                <w:rFonts w:ascii="Times New Roman" w:cs="Times New Roman" w:eastAsia="Times New Roman" w:hAnsi="Times New Roman"/>
                <w:sz w:val="16"/>
                <w:szCs w:val="16"/>
                <w:color w:val="0000FF"/>
              </w:rPr>
              <w:t>Section 302 of the Sarbanes-Oxley Act of 2002</w:t>
            </w: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9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1200" w:type="dxa"/>
            <w:vAlign w:val="bottom"/>
            <w:shd w:val="clear" w:color="auto" w:fill="0000FF"/>
          </w:tcPr>
          <w:p>
            <w:pPr>
              <w:spacing w:after="0" w:line="20" w:lineRule="exact"/>
              <w:rPr>
                <w:sz w:val="1"/>
                <w:szCs w:val="1"/>
                <w:color w:val="auto"/>
              </w:rPr>
            </w:pPr>
          </w:p>
        </w:tc>
        <w:tc>
          <w:tcPr>
            <w:tcW w:w="134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14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80" w:type="dxa"/>
            <w:vAlign w:val="bottom"/>
            <w:vMerge w:val="restart"/>
          </w:tcPr>
          <w:p>
            <w:pPr>
              <w:ind w:left="20"/>
              <w:spacing w:after="0"/>
              <w:rPr>
                <w:sz w:val="20"/>
                <w:szCs w:val="20"/>
                <w:color w:val="auto"/>
              </w:rPr>
            </w:pPr>
            <w:r>
              <w:rPr>
                <w:rFonts w:ascii="Times New Roman" w:cs="Times New Roman" w:eastAsia="Times New Roman" w:hAnsi="Times New Roman"/>
                <w:sz w:val="16"/>
                <w:szCs w:val="16"/>
                <w:color w:val="auto"/>
              </w:rPr>
              <w:t>31.2</w:t>
            </w:r>
          </w:p>
        </w:tc>
        <w:tc>
          <w:tcPr>
            <w:tcW w:w="4980" w:type="dxa"/>
            <w:vAlign w:val="bottom"/>
            <w:gridSpan w:val="9"/>
          </w:tcPr>
          <w:p>
            <w:pPr>
              <w:spacing w:after="0"/>
              <w:rPr>
                <w:sz w:val="20"/>
                <w:szCs w:val="20"/>
                <w:color w:val="auto"/>
              </w:rPr>
            </w:pPr>
            <w:r>
              <w:rPr>
                <w:rFonts w:ascii="Times New Roman" w:cs="Times New Roman" w:eastAsia="Times New Roman" w:hAnsi="Times New Roman"/>
                <w:sz w:val="16"/>
                <w:szCs w:val="16"/>
                <w:color w:val="0000FF"/>
              </w:rPr>
              <w:t>Certification of the Company’s Chief Financial Officer pursuant to Section</w:t>
            </w:r>
          </w:p>
        </w:tc>
        <w:tc>
          <w:tcPr>
            <w:tcW w:w="8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960" w:type="dxa"/>
            <w:vAlign w:val="bottom"/>
            <w:vMerge w:val="restart"/>
          </w:tcPr>
          <w:p>
            <w:pPr>
              <w:jc w:val="center"/>
              <w:ind w:left="159"/>
              <w:spacing w:after="0"/>
              <w:rPr>
                <w:sz w:val="20"/>
                <w:szCs w:val="20"/>
                <w:color w:val="auto"/>
              </w:rPr>
            </w:pPr>
            <w:r>
              <w:rPr>
                <w:rFonts w:ascii="Times New Roman" w:cs="Times New Roman" w:eastAsia="Times New Roman" w:hAnsi="Times New Roman"/>
                <w:sz w:val="16"/>
                <w:szCs w:val="16"/>
                <w:color w:val="auto"/>
              </w:rPr>
              <w:t>X</w:t>
            </w:r>
          </w:p>
        </w:tc>
        <w:tc>
          <w:tcPr>
            <w:tcW w:w="0" w:type="dxa"/>
            <w:vAlign w:val="bottom"/>
          </w:tcPr>
          <w:p>
            <w:pPr>
              <w:spacing w:after="0"/>
              <w:rPr>
                <w:sz w:val="1"/>
                <w:szCs w:val="1"/>
                <w:color w:val="auto"/>
              </w:rPr>
            </w:pPr>
          </w:p>
        </w:tc>
      </w:tr>
      <w:tr>
        <w:trPr>
          <w:trHeight w:val="142"/>
        </w:trPr>
        <w:tc>
          <w:tcPr>
            <w:tcW w:w="980" w:type="dxa"/>
            <w:vAlign w:val="bottom"/>
            <w:vMerge w:val="continue"/>
          </w:tcPr>
          <w:p>
            <w:pPr>
              <w:spacing w:after="0"/>
              <w:rPr>
                <w:sz w:val="12"/>
                <w:szCs w:val="12"/>
                <w:color w:val="auto"/>
              </w:rPr>
            </w:pPr>
          </w:p>
        </w:tc>
        <w:tc>
          <w:tcPr>
            <w:tcW w:w="2540" w:type="dxa"/>
            <w:vAlign w:val="bottom"/>
            <w:tcBorders>
              <w:top w:val="single" w:sz="8" w:color="0000FF"/>
              <w:bottom w:val="single" w:sz="8" w:color="0000FF"/>
            </w:tcBorders>
            <w:gridSpan w:val="2"/>
          </w:tcPr>
          <w:p>
            <w:pPr>
              <w:spacing w:after="0" w:line="142" w:lineRule="exact"/>
              <w:rPr>
                <w:sz w:val="20"/>
                <w:szCs w:val="20"/>
                <w:color w:val="auto"/>
              </w:rPr>
            </w:pPr>
            <w:r>
              <w:rPr>
                <w:rFonts w:ascii="Times New Roman" w:cs="Times New Roman" w:eastAsia="Times New Roman" w:hAnsi="Times New Roman"/>
                <w:sz w:val="16"/>
                <w:szCs w:val="16"/>
                <w:color w:val="0000FF"/>
              </w:rPr>
              <w:t>302 of the Sarbanes-Oxley Act of 2002</w:t>
            </w:r>
          </w:p>
        </w:tc>
        <w:tc>
          <w:tcPr>
            <w:tcW w:w="2300" w:type="dxa"/>
            <w:vAlign w:val="bottom"/>
            <w:tcBorders>
              <w:top w:val="single" w:sz="8" w:color="0000FF"/>
            </w:tcBorders>
            <w:gridSpan w:val="6"/>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9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980" w:type="dxa"/>
            <w:vAlign w:val="bottom"/>
          </w:tcPr>
          <w:p>
            <w:pPr>
              <w:spacing w:after="0"/>
              <w:rPr>
                <w:sz w:val="17"/>
                <w:szCs w:val="17"/>
                <w:color w:val="auto"/>
              </w:rPr>
            </w:pPr>
          </w:p>
        </w:tc>
        <w:tc>
          <w:tcPr>
            <w:tcW w:w="4980" w:type="dxa"/>
            <w:vAlign w:val="bottom"/>
            <w:gridSpan w:val="9"/>
          </w:tcPr>
          <w:p>
            <w:pPr>
              <w:spacing w:after="0"/>
              <w:rPr>
                <w:sz w:val="20"/>
                <w:szCs w:val="20"/>
                <w:color w:val="auto"/>
              </w:rPr>
            </w:pPr>
            <w:r>
              <w:rPr>
                <w:rFonts w:ascii="Times New Roman" w:cs="Times New Roman" w:eastAsia="Times New Roman" w:hAnsi="Times New Roman"/>
                <w:sz w:val="16"/>
                <w:szCs w:val="16"/>
                <w:color w:val="0000FF"/>
              </w:rPr>
              <w:t>Certification of the Company’s Chief Executive Officer pursuant to 18</w:t>
            </w:r>
          </w:p>
        </w:tc>
        <w:tc>
          <w:tcPr>
            <w:tcW w:w="8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2"/>
        </w:trPr>
        <w:tc>
          <w:tcPr>
            <w:tcW w:w="980" w:type="dxa"/>
            <w:vAlign w:val="bottom"/>
            <w:vMerge w:val="restart"/>
          </w:tcPr>
          <w:p>
            <w:pPr>
              <w:ind w:left="20"/>
              <w:spacing w:after="0"/>
              <w:rPr>
                <w:sz w:val="20"/>
                <w:szCs w:val="20"/>
                <w:color w:val="auto"/>
              </w:rPr>
            </w:pPr>
            <w:r>
              <w:rPr>
                <w:rFonts w:ascii="Times New Roman" w:cs="Times New Roman" w:eastAsia="Times New Roman" w:hAnsi="Times New Roman"/>
                <w:sz w:val="16"/>
                <w:szCs w:val="16"/>
                <w:color w:val="auto"/>
              </w:rPr>
              <w:t>32.1</w:t>
            </w:r>
          </w:p>
        </w:tc>
        <w:tc>
          <w:tcPr>
            <w:tcW w:w="4560" w:type="dxa"/>
            <w:vAlign w:val="bottom"/>
            <w:tcBorders>
              <w:top w:val="single" w:sz="8" w:color="0000FF"/>
            </w:tcBorders>
            <w:gridSpan w:val="6"/>
          </w:tcPr>
          <w:p>
            <w:pPr>
              <w:spacing w:after="0" w:line="142" w:lineRule="exact"/>
              <w:rPr>
                <w:sz w:val="20"/>
                <w:szCs w:val="20"/>
                <w:color w:val="auto"/>
              </w:rPr>
            </w:pPr>
            <w:r>
              <w:rPr>
                <w:rFonts w:ascii="Times New Roman" w:cs="Times New Roman" w:eastAsia="Times New Roman" w:hAnsi="Times New Roman"/>
                <w:sz w:val="16"/>
                <w:szCs w:val="16"/>
                <w:color w:val="0000FF"/>
                <w:w w:val="97"/>
              </w:rPr>
              <w:t>U.S.C. Section 1350, as adopted pursuant to Section 906 of the Sarbanes</w:t>
            </w:r>
          </w:p>
        </w:tc>
        <w:tc>
          <w:tcPr>
            <w:tcW w:w="420" w:type="dxa"/>
            <w:vAlign w:val="bottom"/>
            <w:gridSpan w:val="3"/>
          </w:tcPr>
          <w:p>
            <w:pPr>
              <w:jc w:val="right"/>
              <w:ind w:right="220"/>
              <w:spacing w:after="0" w:line="142" w:lineRule="exact"/>
              <w:rPr>
                <w:sz w:val="20"/>
                <w:szCs w:val="20"/>
                <w:color w:val="auto"/>
              </w:rPr>
            </w:pPr>
            <w:r>
              <w:rPr>
                <w:rFonts w:ascii="Times New Roman" w:cs="Times New Roman" w:eastAsia="Times New Roman" w:hAnsi="Times New Roman"/>
                <w:sz w:val="16"/>
                <w:szCs w:val="16"/>
                <w:color w:val="0000FF"/>
              </w:rPr>
              <w:t>-</w:t>
            </w:r>
          </w:p>
        </w:tc>
        <w:tc>
          <w:tcPr>
            <w:tcW w:w="8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960" w:type="dxa"/>
            <w:vAlign w:val="bottom"/>
            <w:vMerge w:val="restart"/>
          </w:tcPr>
          <w:p>
            <w:pPr>
              <w:jc w:val="center"/>
              <w:ind w:left="159"/>
              <w:spacing w:after="0"/>
              <w:rPr>
                <w:sz w:val="20"/>
                <w:szCs w:val="20"/>
                <w:color w:val="auto"/>
              </w:rPr>
            </w:pPr>
            <w:r>
              <w:rPr>
                <w:rFonts w:ascii="Times New Roman" w:cs="Times New Roman" w:eastAsia="Times New Roman" w:hAnsi="Times New Roman"/>
                <w:sz w:val="16"/>
                <w:szCs w:val="16"/>
                <w:color w:val="auto"/>
              </w:rPr>
              <w:t>X</w:t>
            </w:r>
          </w:p>
        </w:tc>
        <w:tc>
          <w:tcPr>
            <w:tcW w:w="0" w:type="dxa"/>
            <w:vAlign w:val="bottom"/>
          </w:tcPr>
          <w:p>
            <w:pPr>
              <w:spacing w:after="0"/>
              <w:rPr>
                <w:sz w:val="1"/>
                <w:szCs w:val="1"/>
                <w:color w:val="auto"/>
              </w:rPr>
            </w:pPr>
          </w:p>
        </w:tc>
      </w:tr>
      <w:tr>
        <w:trPr>
          <w:trHeight w:val="142"/>
        </w:trPr>
        <w:tc>
          <w:tcPr>
            <w:tcW w:w="980" w:type="dxa"/>
            <w:vAlign w:val="bottom"/>
            <w:vMerge w:val="continue"/>
          </w:tcPr>
          <w:p>
            <w:pPr>
              <w:spacing w:after="0"/>
              <w:rPr>
                <w:sz w:val="12"/>
                <w:szCs w:val="12"/>
                <w:color w:val="auto"/>
              </w:rPr>
            </w:pPr>
          </w:p>
        </w:tc>
        <w:tc>
          <w:tcPr>
            <w:tcW w:w="4760" w:type="dxa"/>
            <w:vAlign w:val="bottom"/>
            <w:tcBorders>
              <w:top w:val="single" w:sz="8" w:color="0000FF"/>
            </w:tcBorders>
            <w:gridSpan w:val="7"/>
          </w:tcPr>
          <w:p>
            <w:pPr>
              <w:spacing w:after="0" w:line="142" w:lineRule="exact"/>
              <w:rPr>
                <w:sz w:val="20"/>
                <w:szCs w:val="20"/>
                <w:color w:val="auto"/>
              </w:rPr>
            </w:pPr>
            <w:r>
              <w:rPr>
                <w:rFonts w:ascii="Times New Roman" w:cs="Times New Roman" w:eastAsia="Times New Roman" w:hAnsi="Times New Roman"/>
                <w:sz w:val="16"/>
                <w:szCs w:val="16"/>
                <w:color w:val="0000FF"/>
              </w:rPr>
              <w:t>Oxley Act of 2002</w:t>
            </w:r>
          </w:p>
        </w:tc>
        <w:tc>
          <w:tcPr>
            <w:tcW w:w="220" w:type="dxa"/>
            <w:vAlign w:val="bottom"/>
            <w:gridSpan w:val="2"/>
          </w:tcPr>
          <w:p>
            <w:pPr>
              <w:spacing w:after="0"/>
              <w:rPr>
                <w:sz w:val="12"/>
                <w:szCs w:val="12"/>
                <w:color w:val="auto"/>
              </w:rPr>
            </w:pPr>
          </w:p>
        </w:tc>
        <w:tc>
          <w:tcPr>
            <w:tcW w:w="8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9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1200" w:type="dxa"/>
            <w:vAlign w:val="bottom"/>
            <w:shd w:val="clear" w:color="auto" w:fill="0000FF"/>
          </w:tcPr>
          <w:p>
            <w:pPr>
              <w:spacing w:after="0" w:line="20" w:lineRule="exact"/>
              <w:rPr>
                <w:sz w:val="1"/>
                <w:szCs w:val="1"/>
                <w:color w:val="auto"/>
              </w:rPr>
            </w:pPr>
          </w:p>
        </w:tc>
        <w:tc>
          <w:tcPr>
            <w:tcW w:w="3320" w:type="dxa"/>
            <w:vAlign w:val="bottom"/>
            <w:gridSpan w:val="4"/>
          </w:tcPr>
          <w:p>
            <w:pPr>
              <w:spacing w:after="0" w:line="20" w:lineRule="exact"/>
              <w:rPr>
                <w:sz w:val="1"/>
                <w:szCs w:val="1"/>
                <w:color w:val="auto"/>
              </w:rPr>
            </w:pPr>
          </w:p>
        </w:tc>
        <w:tc>
          <w:tcPr>
            <w:tcW w:w="460" w:type="dxa"/>
            <w:vAlign w:val="bottom"/>
            <w:gridSpan w:val="4"/>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80" w:type="dxa"/>
            <w:vAlign w:val="bottom"/>
          </w:tcPr>
          <w:p>
            <w:pPr>
              <w:spacing w:after="0"/>
              <w:rPr>
                <w:sz w:val="17"/>
                <w:szCs w:val="17"/>
                <w:color w:val="auto"/>
              </w:rPr>
            </w:pPr>
          </w:p>
        </w:tc>
        <w:tc>
          <w:tcPr>
            <w:tcW w:w="4520" w:type="dxa"/>
            <w:vAlign w:val="bottom"/>
            <w:tcBorders>
              <w:bottom w:val="single" w:sz="8" w:color="0000FF"/>
            </w:tcBorders>
            <w:gridSpan w:val="5"/>
          </w:tcPr>
          <w:p>
            <w:pPr>
              <w:spacing w:after="0"/>
              <w:rPr>
                <w:sz w:val="20"/>
                <w:szCs w:val="20"/>
                <w:color w:val="auto"/>
              </w:rPr>
            </w:pPr>
            <w:r>
              <w:rPr>
                <w:rFonts w:ascii="Times New Roman" w:cs="Times New Roman" w:eastAsia="Times New Roman" w:hAnsi="Times New Roman"/>
                <w:sz w:val="16"/>
                <w:szCs w:val="16"/>
                <w:color w:val="0000FF"/>
              </w:rPr>
              <w:t>Certification of the Company’s Chief Financial Officer pursuant to 18</w:t>
            </w:r>
          </w:p>
        </w:tc>
        <w:tc>
          <w:tcPr>
            <w:tcW w:w="460" w:type="dxa"/>
            <w:vAlign w:val="bottom"/>
            <w:gridSpan w:val="4"/>
          </w:tcPr>
          <w:p>
            <w:pPr>
              <w:spacing w:after="0"/>
              <w:rPr>
                <w:sz w:val="17"/>
                <w:szCs w:val="17"/>
                <w:color w:val="auto"/>
              </w:rPr>
            </w:pPr>
          </w:p>
        </w:tc>
        <w:tc>
          <w:tcPr>
            <w:tcW w:w="8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2"/>
        </w:trPr>
        <w:tc>
          <w:tcPr>
            <w:tcW w:w="980" w:type="dxa"/>
            <w:vAlign w:val="bottom"/>
            <w:vMerge w:val="restart"/>
          </w:tcPr>
          <w:p>
            <w:pPr>
              <w:ind w:left="20"/>
              <w:spacing w:after="0"/>
              <w:rPr>
                <w:sz w:val="20"/>
                <w:szCs w:val="20"/>
                <w:color w:val="auto"/>
              </w:rPr>
            </w:pPr>
            <w:r>
              <w:rPr>
                <w:rFonts w:ascii="Times New Roman" w:cs="Times New Roman" w:eastAsia="Times New Roman" w:hAnsi="Times New Roman"/>
                <w:sz w:val="16"/>
                <w:szCs w:val="16"/>
                <w:color w:val="auto"/>
              </w:rPr>
              <w:t>32.2</w:t>
            </w:r>
          </w:p>
        </w:tc>
        <w:tc>
          <w:tcPr>
            <w:tcW w:w="4980" w:type="dxa"/>
            <w:vAlign w:val="bottom"/>
            <w:gridSpan w:val="9"/>
          </w:tcPr>
          <w:p>
            <w:pPr>
              <w:spacing w:after="0" w:line="142" w:lineRule="exact"/>
              <w:rPr>
                <w:sz w:val="20"/>
                <w:szCs w:val="20"/>
                <w:color w:val="auto"/>
              </w:rPr>
            </w:pPr>
            <w:r>
              <w:rPr>
                <w:rFonts w:ascii="Times New Roman" w:cs="Times New Roman" w:eastAsia="Times New Roman" w:hAnsi="Times New Roman"/>
                <w:sz w:val="16"/>
                <w:szCs w:val="16"/>
                <w:color w:val="0000FF"/>
              </w:rPr>
              <w:t>U.S.C. Section 1350, as adopted pursuant to Section 906 of the Sarbanes-</w:t>
            </w:r>
          </w:p>
        </w:tc>
        <w:tc>
          <w:tcPr>
            <w:tcW w:w="8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960" w:type="dxa"/>
            <w:vAlign w:val="bottom"/>
            <w:vMerge w:val="restart"/>
          </w:tcPr>
          <w:p>
            <w:pPr>
              <w:jc w:val="center"/>
              <w:ind w:left="159"/>
              <w:spacing w:after="0"/>
              <w:rPr>
                <w:sz w:val="20"/>
                <w:szCs w:val="20"/>
                <w:color w:val="auto"/>
              </w:rPr>
            </w:pPr>
            <w:r>
              <w:rPr>
                <w:rFonts w:ascii="Times New Roman" w:cs="Times New Roman" w:eastAsia="Times New Roman" w:hAnsi="Times New Roman"/>
                <w:sz w:val="16"/>
                <w:szCs w:val="16"/>
                <w:color w:val="auto"/>
              </w:rPr>
              <w:t>X</w:t>
            </w:r>
          </w:p>
        </w:tc>
        <w:tc>
          <w:tcPr>
            <w:tcW w:w="0" w:type="dxa"/>
            <w:vAlign w:val="bottom"/>
          </w:tcPr>
          <w:p>
            <w:pPr>
              <w:spacing w:after="0"/>
              <w:rPr>
                <w:sz w:val="1"/>
                <w:szCs w:val="1"/>
                <w:color w:val="auto"/>
              </w:rPr>
            </w:pPr>
          </w:p>
        </w:tc>
      </w:tr>
      <w:tr>
        <w:trPr>
          <w:trHeight w:val="142"/>
        </w:trPr>
        <w:tc>
          <w:tcPr>
            <w:tcW w:w="980" w:type="dxa"/>
            <w:vAlign w:val="bottom"/>
            <w:vMerge w:val="continue"/>
          </w:tcPr>
          <w:p>
            <w:pPr>
              <w:spacing w:after="0"/>
              <w:rPr>
                <w:sz w:val="12"/>
                <w:szCs w:val="12"/>
                <w:color w:val="auto"/>
              </w:rPr>
            </w:pPr>
          </w:p>
        </w:tc>
        <w:tc>
          <w:tcPr>
            <w:tcW w:w="4760" w:type="dxa"/>
            <w:vAlign w:val="bottom"/>
            <w:tcBorders>
              <w:top w:val="single" w:sz="8" w:color="0000FF"/>
            </w:tcBorders>
            <w:gridSpan w:val="7"/>
          </w:tcPr>
          <w:p>
            <w:pPr>
              <w:spacing w:after="0" w:line="142" w:lineRule="exact"/>
              <w:rPr>
                <w:sz w:val="20"/>
                <w:szCs w:val="20"/>
                <w:color w:val="auto"/>
              </w:rPr>
            </w:pPr>
            <w:r>
              <w:rPr>
                <w:rFonts w:ascii="Times New Roman" w:cs="Times New Roman" w:eastAsia="Times New Roman" w:hAnsi="Times New Roman"/>
                <w:sz w:val="16"/>
                <w:szCs w:val="16"/>
                <w:color w:val="0000FF"/>
              </w:rPr>
              <w:t>Oxley Act of 2002</w:t>
            </w:r>
          </w:p>
        </w:tc>
        <w:tc>
          <w:tcPr>
            <w:tcW w:w="220" w:type="dxa"/>
            <w:vAlign w:val="bottom"/>
            <w:gridSpan w:val="2"/>
          </w:tcPr>
          <w:p>
            <w:pPr>
              <w:spacing w:after="0"/>
              <w:rPr>
                <w:sz w:val="12"/>
                <w:szCs w:val="12"/>
                <w:color w:val="auto"/>
              </w:rPr>
            </w:pPr>
          </w:p>
        </w:tc>
        <w:tc>
          <w:tcPr>
            <w:tcW w:w="8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9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1200" w:type="dxa"/>
            <w:vAlign w:val="bottom"/>
            <w:shd w:val="clear" w:color="auto" w:fill="0000FF"/>
          </w:tcPr>
          <w:p>
            <w:pPr>
              <w:spacing w:after="0" w:line="20" w:lineRule="exact"/>
              <w:rPr>
                <w:sz w:val="1"/>
                <w:szCs w:val="1"/>
                <w:color w:val="auto"/>
              </w:rPr>
            </w:pPr>
          </w:p>
        </w:tc>
        <w:tc>
          <w:tcPr>
            <w:tcW w:w="3780" w:type="dxa"/>
            <w:vAlign w:val="bottom"/>
            <w:gridSpan w:val="8"/>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980" w:type="dxa"/>
            <w:vAlign w:val="bottom"/>
          </w:tcPr>
          <w:p>
            <w:pPr>
              <w:spacing w:after="0"/>
              <w:rPr>
                <w:sz w:val="15"/>
                <w:szCs w:val="15"/>
                <w:color w:val="auto"/>
              </w:rPr>
            </w:pPr>
          </w:p>
        </w:tc>
        <w:tc>
          <w:tcPr>
            <w:tcW w:w="4980" w:type="dxa"/>
            <w:vAlign w:val="bottom"/>
            <w:gridSpan w:val="9"/>
          </w:tcPr>
          <w:p>
            <w:pPr>
              <w:spacing w:after="0" w:line="183" w:lineRule="exact"/>
              <w:rPr>
                <w:sz w:val="20"/>
                <w:szCs w:val="20"/>
                <w:color w:val="auto"/>
              </w:rPr>
            </w:pPr>
            <w:r>
              <w:rPr>
                <w:rFonts w:ascii="Times New Roman" w:cs="Times New Roman" w:eastAsia="Times New Roman" w:hAnsi="Times New Roman"/>
                <w:sz w:val="16"/>
                <w:szCs w:val="16"/>
                <w:color w:val="auto"/>
              </w:rPr>
              <w:t>The following Extensible Business Reporting Language (XBRL)</w:t>
            </w:r>
          </w:p>
        </w:tc>
        <w:tc>
          <w:tcPr>
            <w:tcW w:w="8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980" w:type="dxa"/>
            <w:vAlign w:val="bottom"/>
          </w:tcPr>
          <w:p>
            <w:pPr>
              <w:spacing w:after="0"/>
              <w:rPr>
                <w:sz w:val="14"/>
                <w:szCs w:val="14"/>
                <w:color w:val="auto"/>
              </w:rPr>
            </w:pPr>
          </w:p>
        </w:tc>
        <w:tc>
          <w:tcPr>
            <w:tcW w:w="4980" w:type="dxa"/>
            <w:vAlign w:val="bottom"/>
            <w:gridSpan w:val="9"/>
          </w:tcPr>
          <w:p>
            <w:pPr>
              <w:spacing w:after="0" w:line="162" w:lineRule="exact"/>
              <w:rPr>
                <w:sz w:val="20"/>
                <w:szCs w:val="20"/>
                <w:color w:val="auto"/>
              </w:rPr>
            </w:pPr>
            <w:r>
              <w:rPr>
                <w:rFonts w:ascii="Times New Roman" w:cs="Times New Roman" w:eastAsia="Times New Roman" w:hAnsi="Times New Roman"/>
                <w:sz w:val="16"/>
                <w:szCs w:val="16"/>
                <w:color w:val="auto"/>
              </w:rPr>
              <w:t>documents are collectively included herewith as Exhibit 101: (i) the</w:t>
            </w:r>
          </w:p>
        </w:tc>
        <w:tc>
          <w:tcPr>
            <w:tcW w:w="8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980" w:type="dxa"/>
            <w:vAlign w:val="bottom"/>
          </w:tcPr>
          <w:p>
            <w:pPr>
              <w:spacing w:after="0"/>
              <w:rPr>
                <w:sz w:val="14"/>
                <w:szCs w:val="14"/>
                <w:color w:val="auto"/>
              </w:rPr>
            </w:pPr>
          </w:p>
        </w:tc>
        <w:tc>
          <w:tcPr>
            <w:tcW w:w="4980" w:type="dxa"/>
            <w:vAlign w:val="bottom"/>
            <w:gridSpan w:val="9"/>
          </w:tcPr>
          <w:p>
            <w:pPr>
              <w:spacing w:after="0" w:line="162" w:lineRule="exact"/>
              <w:rPr>
                <w:sz w:val="20"/>
                <w:szCs w:val="20"/>
                <w:color w:val="auto"/>
              </w:rPr>
            </w:pPr>
            <w:r>
              <w:rPr>
                <w:rFonts w:ascii="Times New Roman" w:cs="Times New Roman" w:eastAsia="Times New Roman" w:hAnsi="Times New Roman"/>
                <w:sz w:val="16"/>
                <w:szCs w:val="16"/>
                <w:color w:val="auto"/>
              </w:rPr>
              <w:t>Unaudited Condensed Consolidated Statements of Financial Condition as</w:t>
            </w:r>
          </w:p>
        </w:tc>
        <w:tc>
          <w:tcPr>
            <w:tcW w:w="8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980" w:type="dxa"/>
            <w:vAlign w:val="bottom"/>
          </w:tcPr>
          <w:p>
            <w:pPr>
              <w:spacing w:after="0"/>
              <w:rPr>
                <w:sz w:val="14"/>
                <w:szCs w:val="14"/>
                <w:color w:val="auto"/>
              </w:rPr>
            </w:pPr>
          </w:p>
        </w:tc>
        <w:tc>
          <w:tcPr>
            <w:tcW w:w="4980" w:type="dxa"/>
            <w:vAlign w:val="bottom"/>
            <w:gridSpan w:val="9"/>
          </w:tcPr>
          <w:p>
            <w:pPr>
              <w:spacing w:after="0" w:line="162" w:lineRule="exact"/>
              <w:rPr>
                <w:sz w:val="20"/>
                <w:szCs w:val="20"/>
                <w:color w:val="auto"/>
              </w:rPr>
            </w:pPr>
            <w:r>
              <w:rPr>
                <w:rFonts w:ascii="Times New Roman" w:cs="Times New Roman" w:eastAsia="Times New Roman" w:hAnsi="Times New Roman"/>
                <w:sz w:val="16"/>
                <w:szCs w:val="16"/>
                <w:color w:val="auto"/>
              </w:rPr>
              <w:t>of March 31, 2026 and December 31, 2025; (ii) the Unaudited</w:t>
            </w:r>
          </w:p>
        </w:tc>
        <w:tc>
          <w:tcPr>
            <w:tcW w:w="8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980" w:type="dxa"/>
            <w:vAlign w:val="bottom"/>
          </w:tcPr>
          <w:p>
            <w:pPr>
              <w:spacing w:after="0"/>
              <w:rPr>
                <w:sz w:val="14"/>
                <w:szCs w:val="14"/>
                <w:color w:val="auto"/>
              </w:rPr>
            </w:pPr>
          </w:p>
        </w:tc>
        <w:tc>
          <w:tcPr>
            <w:tcW w:w="4980" w:type="dxa"/>
            <w:vAlign w:val="bottom"/>
            <w:gridSpan w:val="9"/>
          </w:tcPr>
          <w:p>
            <w:pPr>
              <w:spacing w:after="0" w:line="162" w:lineRule="exact"/>
              <w:rPr>
                <w:sz w:val="20"/>
                <w:szCs w:val="20"/>
                <w:color w:val="auto"/>
              </w:rPr>
            </w:pPr>
            <w:r>
              <w:rPr>
                <w:rFonts w:ascii="Times New Roman" w:cs="Times New Roman" w:eastAsia="Times New Roman" w:hAnsi="Times New Roman"/>
                <w:sz w:val="16"/>
                <w:szCs w:val="16"/>
                <w:color w:val="auto"/>
              </w:rPr>
              <w:t>Consolidated Statements of Operations for the three months ended March</w:t>
            </w:r>
          </w:p>
        </w:tc>
        <w:tc>
          <w:tcPr>
            <w:tcW w:w="8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980" w:type="dxa"/>
            <w:vAlign w:val="bottom"/>
          </w:tcPr>
          <w:p>
            <w:pPr>
              <w:spacing w:after="0"/>
              <w:rPr>
                <w:sz w:val="14"/>
                <w:szCs w:val="14"/>
                <w:color w:val="auto"/>
              </w:rPr>
            </w:pPr>
          </w:p>
        </w:tc>
        <w:tc>
          <w:tcPr>
            <w:tcW w:w="4980" w:type="dxa"/>
            <w:vAlign w:val="bottom"/>
            <w:gridSpan w:val="9"/>
          </w:tcPr>
          <w:p>
            <w:pPr>
              <w:spacing w:after="0" w:line="162" w:lineRule="exact"/>
              <w:rPr>
                <w:sz w:val="20"/>
                <w:szCs w:val="20"/>
                <w:color w:val="auto"/>
              </w:rPr>
            </w:pPr>
            <w:r>
              <w:rPr>
                <w:rFonts w:ascii="Times New Roman" w:cs="Times New Roman" w:eastAsia="Times New Roman" w:hAnsi="Times New Roman"/>
                <w:sz w:val="16"/>
                <w:szCs w:val="16"/>
                <w:color w:val="auto"/>
              </w:rPr>
              <w:t>31, 2026 and 2025; (iii) the Unaudited Consolidated Statements of</w:t>
            </w:r>
          </w:p>
        </w:tc>
        <w:tc>
          <w:tcPr>
            <w:tcW w:w="8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980" w:type="dxa"/>
            <w:vAlign w:val="bottom"/>
          </w:tcPr>
          <w:p>
            <w:pPr>
              <w:spacing w:after="0"/>
              <w:rPr>
                <w:sz w:val="14"/>
                <w:szCs w:val="14"/>
                <w:color w:val="auto"/>
              </w:rPr>
            </w:pPr>
          </w:p>
        </w:tc>
        <w:tc>
          <w:tcPr>
            <w:tcW w:w="4980" w:type="dxa"/>
            <w:vAlign w:val="bottom"/>
            <w:gridSpan w:val="9"/>
          </w:tcPr>
          <w:p>
            <w:pPr>
              <w:spacing w:after="0" w:line="162" w:lineRule="exact"/>
              <w:rPr>
                <w:sz w:val="20"/>
                <w:szCs w:val="20"/>
                <w:color w:val="auto"/>
              </w:rPr>
            </w:pPr>
            <w:r>
              <w:rPr>
                <w:rFonts w:ascii="Times New Roman" w:cs="Times New Roman" w:eastAsia="Times New Roman" w:hAnsi="Times New Roman"/>
                <w:sz w:val="16"/>
                <w:szCs w:val="16"/>
                <w:color w:val="auto"/>
              </w:rPr>
              <w:t>Comprehensive Income for the three months ended March 31, 2026 and</w:t>
            </w:r>
          </w:p>
        </w:tc>
        <w:tc>
          <w:tcPr>
            <w:tcW w:w="8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980" w:type="dxa"/>
            <w:vAlign w:val="bottom"/>
          </w:tcPr>
          <w:p>
            <w:pPr>
              <w:spacing w:after="0"/>
              <w:rPr>
                <w:sz w:val="14"/>
                <w:szCs w:val="14"/>
                <w:color w:val="auto"/>
              </w:rPr>
            </w:pPr>
          </w:p>
        </w:tc>
        <w:tc>
          <w:tcPr>
            <w:tcW w:w="4980" w:type="dxa"/>
            <w:vAlign w:val="bottom"/>
            <w:gridSpan w:val="9"/>
          </w:tcPr>
          <w:p>
            <w:pPr>
              <w:spacing w:after="0" w:line="162" w:lineRule="exact"/>
              <w:rPr>
                <w:sz w:val="20"/>
                <w:szCs w:val="20"/>
                <w:color w:val="auto"/>
              </w:rPr>
            </w:pPr>
            <w:r>
              <w:rPr>
                <w:rFonts w:ascii="Times New Roman" w:cs="Times New Roman" w:eastAsia="Times New Roman" w:hAnsi="Times New Roman"/>
                <w:sz w:val="16"/>
                <w:szCs w:val="16"/>
                <w:color w:val="auto"/>
              </w:rPr>
              <w:t>2025; (iv) the Unaudited Consolidated Statements of Changes in</w:t>
            </w:r>
          </w:p>
        </w:tc>
        <w:tc>
          <w:tcPr>
            <w:tcW w:w="8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980" w:type="dxa"/>
            <w:vAlign w:val="bottom"/>
          </w:tcPr>
          <w:p>
            <w:pPr>
              <w:spacing w:after="0"/>
              <w:rPr>
                <w:sz w:val="14"/>
                <w:szCs w:val="14"/>
                <w:color w:val="auto"/>
              </w:rPr>
            </w:pPr>
          </w:p>
        </w:tc>
        <w:tc>
          <w:tcPr>
            <w:tcW w:w="4980" w:type="dxa"/>
            <w:vAlign w:val="bottom"/>
            <w:gridSpan w:val="9"/>
          </w:tcPr>
          <w:p>
            <w:pPr>
              <w:spacing w:after="0" w:line="162" w:lineRule="exact"/>
              <w:rPr>
                <w:sz w:val="20"/>
                <w:szCs w:val="20"/>
                <w:color w:val="auto"/>
              </w:rPr>
            </w:pPr>
            <w:r>
              <w:rPr>
                <w:rFonts w:ascii="Times New Roman" w:cs="Times New Roman" w:eastAsia="Times New Roman" w:hAnsi="Times New Roman"/>
                <w:sz w:val="16"/>
                <w:szCs w:val="16"/>
                <w:color w:val="auto"/>
              </w:rPr>
              <w:t>Stockholders’ Equity for the three months ended March 31, 2026 and</w:t>
            </w:r>
          </w:p>
        </w:tc>
        <w:tc>
          <w:tcPr>
            <w:tcW w:w="8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980" w:type="dxa"/>
            <w:vAlign w:val="bottom"/>
          </w:tcPr>
          <w:p>
            <w:pPr>
              <w:spacing w:after="0"/>
              <w:rPr>
                <w:sz w:val="14"/>
                <w:szCs w:val="14"/>
                <w:color w:val="auto"/>
              </w:rPr>
            </w:pPr>
          </w:p>
        </w:tc>
        <w:tc>
          <w:tcPr>
            <w:tcW w:w="4980" w:type="dxa"/>
            <w:vAlign w:val="bottom"/>
            <w:gridSpan w:val="9"/>
          </w:tcPr>
          <w:p>
            <w:pPr>
              <w:spacing w:after="0" w:line="162" w:lineRule="exact"/>
              <w:rPr>
                <w:sz w:val="20"/>
                <w:szCs w:val="20"/>
                <w:color w:val="auto"/>
              </w:rPr>
            </w:pPr>
            <w:r>
              <w:rPr>
                <w:rFonts w:ascii="Times New Roman" w:cs="Times New Roman" w:eastAsia="Times New Roman" w:hAnsi="Times New Roman"/>
                <w:sz w:val="16"/>
                <w:szCs w:val="16"/>
                <w:color w:val="auto"/>
              </w:rPr>
              <w:t>2025; (v) the Unaudited Consolidated Statements of Cash Flows for the</w:t>
            </w:r>
          </w:p>
        </w:tc>
        <w:tc>
          <w:tcPr>
            <w:tcW w:w="8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980" w:type="dxa"/>
            <w:vAlign w:val="bottom"/>
          </w:tcPr>
          <w:p>
            <w:pPr>
              <w:spacing w:after="0"/>
              <w:rPr>
                <w:sz w:val="14"/>
                <w:szCs w:val="14"/>
                <w:color w:val="auto"/>
              </w:rPr>
            </w:pPr>
          </w:p>
        </w:tc>
        <w:tc>
          <w:tcPr>
            <w:tcW w:w="4980" w:type="dxa"/>
            <w:vAlign w:val="bottom"/>
            <w:gridSpan w:val="9"/>
          </w:tcPr>
          <w:p>
            <w:pPr>
              <w:spacing w:after="0" w:line="162" w:lineRule="exact"/>
              <w:rPr>
                <w:sz w:val="20"/>
                <w:szCs w:val="20"/>
                <w:color w:val="auto"/>
              </w:rPr>
            </w:pPr>
            <w:r>
              <w:rPr>
                <w:rFonts w:ascii="Times New Roman" w:cs="Times New Roman" w:eastAsia="Times New Roman" w:hAnsi="Times New Roman"/>
                <w:sz w:val="16"/>
                <w:szCs w:val="16"/>
                <w:color w:val="auto"/>
              </w:rPr>
              <w:t>three months ended March 31, 2026 and 2025 (vi) the Notes to Unaudited</w:t>
            </w:r>
          </w:p>
        </w:tc>
        <w:tc>
          <w:tcPr>
            <w:tcW w:w="8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980" w:type="dxa"/>
            <w:vAlign w:val="bottom"/>
            <w:vMerge w:val="restart"/>
          </w:tcPr>
          <w:p>
            <w:pPr>
              <w:ind w:left="20"/>
              <w:spacing w:after="0"/>
              <w:rPr>
                <w:sz w:val="20"/>
                <w:szCs w:val="20"/>
                <w:color w:val="auto"/>
              </w:rPr>
            </w:pPr>
            <w:r>
              <w:rPr>
                <w:rFonts w:ascii="Times New Roman" w:cs="Times New Roman" w:eastAsia="Times New Roman" w:hAnsi="Times New Roman"/>
                <w:sz w:val="16"/>
                <w:szCs w:val="16"/>
                <w:color w:val="auto"/>
              </w:rPr>
              <w:t>101</w:t>
            </w:r>
          </w:p>
        </w:tc>
        <w:tc>
          <w:tcPr>
            <w:tcW w:w="4980" w:type="dxa"/>
            <w:vAlign w:val="bottom"/>
            <w:gridSpan w:val="9"/>
          </w:tcPr>
          <w:p>
            <w:pPr>
              <w:spacing w:after="0" w:line="162" w:lineRule="exact"/>
              <w:rPr>
                <w:sz w:val="20"/>
                <w:szCs w:val="20"/>
                <w:color w:val="auto"/>
              </w:rPr>
            </w:pPr>
            <w:r>
              <w:rPr>
                <w:rFonts w:ascii="Times New Roman" w:cs="Times New Roman" w:eastAsia="Times New Roman" w:hAnsi="Times New Roman"/>
                <w:sz w:val="16"/>
                <w:szCs w:val="16"/>
                <w:color w:val="auto"/>
              </w:rPr>
              <w:t>Consolidated Financial Statements as of and for the three months ended</w:t>
            </w:r>
          </w:p>
        </w:tc>
        <w:tc>
          <w:tcPr>
            <w:tcW w:w="8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960" w:type="dxa"/>
            <w:vAlign w:val="bottom"/>
            <w:vMerge w:val="restart"/>
          </w:tcPr>
          <w:p>
            <w:pPr>
              <w:jc w:val="center"/>
              <w:ind w:left="159"/>
              <w:spacing w:after="0"/>
              <w:rPr>
                <w:sz w:val="20"/>
                <w:szCs w:val="20"/>
                <w:color w:val="auto"/>
              </w:rPr>
            </w:pPr>
            <w:r>
              <w:rPr>
                <w:rFonts w:ascii="Times New Roman" w:cs="Times New Roman" w:eastAsia="Times New Roman" w:hAnsi="Times New Roman"/>
                <w:sz w:val="16"/>
                <w:szCs w:val="16"/>
                <w:color w:val="auto"/>
              </w:rPr>
              <w:t>X</w:t>
            </w:r>
          </w:p>
        </w:tc>
        <w:tc>
          <w:tcPr>
            <w:tcW w:w="0" w:type="dxa"/>
            <w:vAlign w:val="bottom"/>
          </w:tcPr>
          <w:p>
            <w:pPr>
              <w:spacing w:after="0"/>
              <w:rPr>
                <w:sz w:val="1"/>
                <w:szCs w:val="1"/>
                <w:color w:val="auto"/>
              </w:rPr>
            </w:pPr>
          </w:p>
        </w:tc>
      </w:tr>
      <w:tr>
        <w:trPr>
          <w:trHeight w:val="210"/>
        </w:trPr>
        <w:tc>
          <w:tcPr>
            <w:tcW w:w="980" w:type="dxa"/>
            <w:vAlign w:val="bottom"/>
            <w:vMerge w:val="continue"/>
          </w:tcPr>
          <w:p>
            <w:pPr>
              <w:spacing w:after="0"/>
              <w:rPr>
                <w:sz w:val="18"/>
                <w:szCs w:val="18"/>
                <w:color w:val="auto"/>
              </w:rPr>
            </w:pPr>
          </w:p>
        </w:tc>
        <w:tc>
          <w:tcPr>
            <w:tcW w:w="4980" w:type="dxa"/>
            <w:vAlign w:val="bottom"/>
            <w:gridSpan w:val="9"/>
          </w:tcPr>
          <w:p>
            <w:pPr>
              <w:spacing w:after="0"/>
              <w:rPr>
                <w:sz w:val="20"/>
                <w:szCs w:val="20"/>
                <w:color w:val="auto"/>
              </w:rPr>
            </w:pPr>
            <w:r>
              <w:rPr>
                <w:rFonts w:ascii="Times New Roman" w:cs="Times New Roman" w:eastAsia="Times New Roman" w:hAnsi="Times New Roman"/>
                <w:sz w:val="16"/>
                <w:szCs w:val="16"/>
                <w:color w:val="auto"/>
              </w:rPr>
              <w:t>March 31, 2026 and 2025.</w:t>
            </w:r>
          </w:p>
        </w:tc>
        <w:tc>
          <w:tcPr>
            <w:tcW w:w="8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9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8"/>
        </w:trPr>
        <w:tc>
          <w:tcPr>
            <w:tcW w:w="980" w:type="dxa"/>
            <w:vAlign w:val="bottom"/>
            <w:vMerge w:val="restart"/>
          </w:tcPr>
          <w:p>
            <w:pPr>
              <w:ind w:left="20"/>
              <w:spacing w:after="0"/>
              <w:rPr>
                <w:sz w:val="20"/>
                <w:szCs w:val="20"/>
                <w:color w:val="auto"/>
              </w:rPr>
            </w:pPr>
            <w:r>
              <w:rPr>
                <w:rFonts w:ascii="Times New Roman" w:cs="Times New Roman" w:eastAsia="Times New Roman" w:hAnsi="Times New Roman"/>
                <w:sz w:val="16"/>
                <w:szCs w:val="16"/>
                <w:color w:val="auto"/>
              </w:rPr>
              <w:t>104</w:t>
            </w:r>
          </w:p>
        </w:tc>
        <w:tc>
          <w:tcPr>
            <w:tcW w:w="4980" w:type="dxa"/>
            <w:vAlign w:val="bottom"/>
            <w:gridSpan w:val="9"/>
          </w:tcPr>
          <w:p>
            <w:pPr>
              <w:spacing w:after="0" w:line="168" w:lineRule="exact"/>
              <w:rPr>
                <w:sz w:val="20"/>
                <w:szCs w:val="20"/>
                <w:color w:val="auto"/>
              </w:rPr>
            </w:pPr>
            <w:r>
              <w:rPr>
                <w:rFonts w:ascii="Times New Roman" w:cs="Times New Roman" w:eastAsia="Times New Roman" w:hAnsi="Times New Roman"/>
                <w:sz w:val="16"/>
                <w:szCs w:val="16"/>
                <w:color w:val="auto"/>
              </w:rPr>
              <w:t>Cover Page Interactive Data File (formatted as inline XBRL and contained</w:t>
            </w:r>
          </w:p>
        </w:tc>
        <w:tc>
          <w:tcPr>
            <w:tcW w:w="8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960" w:type="dxa"/>
            <w:vAlign w:val="bottom"/>
            <w:vMerge w:val="restart"/>
          </w:tcPr>
          <w:p>
            <w:pPr>
              <w:jc w:val="center"/>
              <w:ind w:left="159"/>
              <w:spacing w:after="0"/>
              <w:rPr>
                <w:sz w:val="20"/>
                <w:szCs w:val="20"/>
                <w:color w:val="auto"/>
              </w:rPr>
            </w:pPr>
            <w:r>
              <w:rPr>
                <w:rFonts w:ascii="Times New Roman" w:cs="Times New Roman" w:eastAsia="Times New Roman" w:hAnsi="Times New Roman"/>
                <w:sz w:val="16"/>
                <w:szCs w:val="16"/>
                <w:color w:val="auto"/>
              </w:rPr>
              <w:t>X</w:t>
            </w:r>
          </w:p>
        </w:tc>
        <w:tc>
          <w:tcPr>
            <w:tcW w:w="0" w:type="dxa"/>
            <w:vAlign w:val="bottom"/>
          </w:tcPr>
          <w:p>
            <w:pPr>
              <w:spacing w:after="0"/>
              <w:rPr>
                <w:sz w:val="1"/>
                <w:szCs w:val="1"/>
                <w:color w:val="auto"/>
              </w:rPr>
            </w:pPr>
          </w:p>
        </w:tc>
      </w:tr>
      <w:tr>
        <w:trPr>
          <w:trHeight w:val="210"/>
        </w:trPr>
        <w:tc>
          <w:tcPr>
            <w:tcW w:w="980" w:type="dxa"/>
            <w:vAlign w:val="bottom"/>
            <w:vMerge w:val="continue"/>
          </w:tcPr>
          <w:p>
            <w:pPr>
              <w:spacing w:after="0"/>
              <w:rPr>
                <w:sz w:val="18"/>
                <w:szCs w:val="18"/>
                <w:color w:val="auto"/>
              </w:rPr>
            </w:pPr>
          </w:p>
        </w:tc>
        <w:tc>
          <w:tcPr>
            <w:tcW w:w="4980" w:type="dxa"/>
            <w:vAlign w:val="bottom"/>
            <w:gridSpan w:val="9"/>
          </w:tcPr>
          <w:p>
            <w:pPr>
              <w:spacing w:after="0"/>
              <w:rPr>
                <w:sz w:val="20"/>
                <w:szCs w:val="20"/>
                <w:color w:val="auto"/>
              </w:rPr>
            </w:pPr>
            <w:r>
              <w:rPr>
                <w:rFonts w:ascii="Times New Roman" w:cs="Times New Roman" w:eastAsia="Times New Roman" w:hAnsi="Times New Roman"/>
                <w:sz w:val="16"/>
                <w:szCs w:val="16"/>
                <w:color w:val="auto"/>
              </w:rPr>
              <w:t>in Exhibit 101)</w:t>
            </w:r>
          </w:p>
        </w:tc>
        <w:tc>
          <w:tcPr>
            <w:tcW w:w="8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9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60"/>
          </w:cols>
          <w:pgMar w:left="320" w:top="118" w:right="51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SIGNATURES</w:t>
      </w:r>
    </w:p>
    <w:p>
      <w:pPr>
        <w:spacing w:after="0" w:line="115" w:lineRule="exact"/>
        <w:rPr>
          <w:sz w:val="20"/>
          <w:szCs w:val="20"/>
          <w:color w:val="auto"/>
        </w:rPr>
      </w:pPr>
    </w:p>
    <w:p>
      <w:pPr>
        <w:spacing w:after="0" w:line="298" w:lineRule="auto"/>
        <w:rPr>
          <w:sz w:val="20"/>
          <w:szCs w:val="20"/>
          <w:color w:val="auto"/>
        </w:rPr>
      </w:pPr>
      <w:r>
        <w:rPr>
          <w:rFonts w:ascii="Times New Roman" w:cs="Times New Roman" w:eastAsia="Times New Roman" w:hAnsi="Times New Roman"/>
          <w:sz w:val="16"/>
          <w:szCs w:val="16"/>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6"/>
          <w:szCs w:val="16"/>
          <w:color w:val="auto"/>
        </w:rPr>
        <w:t>Artisan Partners Asset Management Inc.</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Dated: May 4, 2026</w:t>
      </w:r>
    </w:p>
    <w:p>
      <w:pPr>
        <w:spacing w:after="0" w:line="154" w:lineRule="exact"/>
        <w:rPr>
          <w:sz w:val="20"/>
          <w:szCs w:val="20"/>
          <w:color w:val="auto"/>
        </w:rPr>
      </w:pPr>
    </w:p>
    <w:p>
      <w:pPr>
        <w:ind w:left="5340"/>
        <w:spacing w:after="0"/>
        <w:tabs>
          <w:tab w:leader="none" w:pos="6480" w:val="left"/>
        </w:tabs>
        <w:rPr>
          <w:sz w:val="20"/>
          <w:szCs w:val="20"/>
          <w:color w:val="auto"/>
        </w:rPr>
      </w:pPr>
      <w:r>
        <w:rPr>
          <w:rFonts w:ascii="Times New Roman" w:cs="Times New Roman" w:eastAsia="Times New Roman" w:hAnsi="Times New Roman"/>
          <w:sz w:val="16"/>
          <w:szCs w:val="16"/>
          <w:color w:val="auto"/>
        </w:rPr>
        <w:t>By:</w:t>
      </w:r>
      <w:r>
        <w:rPr>
          <w:sz w:val="20"/>
          <w:szCs w:val="20"/>
          <w:color w:val="auto"/>
        </w:rPr>
        <w:tab/>
      </w:r>
      <w:r>
        <w:rPr>
          <w:rFonts w:ascii="Times New Roman" w:cs="Times New Roman" w:eastAsia="Times New Roman" w:hAnsi="Times New Roman"/>
          <w:sz w:val="16"/>
          <w:szCs w:val="16"/>
          <w:color w:val="auto"/>
        </w:rPr>
        <w:t>/s/ Jason A. Gottlieb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4110990</wp:posOffset>
            </wp:positionH>
            <wp:positionV relativeFrom="paragraph">
              <wp:posOffset>20320</wp:posOffset>
            </wp:positionV>
            <wp:extent cx="3025775"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3025775" cy="8255"/>
                    </a:xfrm>
                    <a:prstGeom prst="rect">
                      <a:avLst/>
                    </a:prstGeom>
                    <a:noFill/>
                  </pic:spPr>
                </pic:pic>
              </a:graphicData>
            </a:graphic>
          </wp:anchor>
        </w:drawing>
      </w:r>
    </w:p>
    <w:p>
      <w:pPr>
        <w:spacing w:after="0" w:line="22" w:lineRule="exact"/>
        <w:rPr>
          <w:sz w:val="20"/>
          <w:szCs w:val="20"/>
          <w:color w:val="auto"/>
        </w:rPr>
      </w:pPr>
    </w:p>
    <w:p>
      <w:pPr>
        <w:ind w:left="6500"/>
        <w:spacing w:after="0"/>
        <w:rPr>
          <w:sz w:val="20"/>
          <w:szCs w:val="20"/>
          <w:color w:val="auto"/>
        </w:rPr>
      </w:pPr>
      <w:r>
        <w:rPr>
          <w:rFonts w:ascii="Times New Roman" w:cs="Times New Roman" w:eastAsia="Times New Roman" w:hAnsi="Times New Roman"/>
          <w:sz w:val="16"/>
          <w:szCs w:val="16"/>
          <w:color w:val="auto"/>
        </w:rPr>
        <w:t>Jason A. Gottlieb</w:t>
      </w:r>
    </w:p>
    <w:p>
      <w:pPr>
        <w:ind w:left="6500"/>
        <w:spacing w:after="0" w:line="211" w:lineRule="auto"/>
        <w:rPr>
          <w:sz w:val="20"/>
          <w:szCs w:val="20"/>
          <w:color w:val="auto"/>
        </w:rPr>
      </w:pPr>
      <w:r>
        <w:rPr>
          <w:rFonts w:ascii="Times New Roman" w:cs="Times New Roman" w:eastAsia="Times New Roman" w:hAnsi="Times New Roman"/>
          <w:sz w:val="16"/>
          <w:szCs w:val="16"/>
          <w:color w:val="auto"/>
        </w:rPr>
        <w:t>Chief Executive Officer and President</w:t>
      </w:r>
    </w:p>
    <w:p>
      <w:pPr>
        <w:ind w:left="6500"/>
        <w:spacing w:after="0"/>
        <w:rPr>
          <w:sz w:val="20"/>
          <w:szCs w:val="20"/>
          <w:color w:val="auto"/>
        </w:rPr>
      </w:pPr>
      <w:r>
        <w:rPr>
          <w:rFonts w:ascii="Times New Roman" w:cs="Times New Roman" w:eastAsia="Times New Roman" w:hAnsi="Times New Roman"/>
          <w:sz w:val="16"/>
          <w:szCs w:val="16"/>
          <w:color w:val="auto"/>
        </w:rPr>
        <w:t>(principal executive officer)</w:t>
      </w:r>
    </w:p>
    <w:p>
      <w:pPr>
        <w:spacing w:after="0" w:line="230" w:lineRule="exact"/>
        <w:rPr>
          <w:sz w:val="20"/>
          <w:szCs w:val="20"/>
          <w:color w:val="auto"/>
        </w:rPr>
      </w:pPr>
    </w:p>
    <w:p>
      <w:pPr>
        <w:ind w:left="6500"/>
        <w:spacing w:after="0"/>
        <w:rPr>
          <w:sz w:val="20"/>
          <w:szCs w:val="20"/>
          <w:color w:val="auto"/>
        </w:rPr>
      </w:pPr>
      <w:r>
        <w:rPr>
          <w:rFonts w:ascii="Times New Roman" w:cs="Times New Roman" w:eastAsia="Times New Roman" w:hAnsi="Times New Roman"/>
          <w:sz w:val="16"/>
          <w:szCs w:val="16"/>
          <w:color w:val="auto"/>
        </w:rPr>
        <w:t>/s/ Charles J. Daley,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4110990</wp:posOffset>
            </wp:positionH>
            <wp:positionV relativeFrom="paragraph">
              <wp:posOffset>20320</wp:posOffset>
            </wp:positionV>
            <wp:extent cx="3025775"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3025775" cy="8890"/>
                    </a:xfrm>
                    <a:prstGeom prst="rect">
                      <a:avLst/>
                    </a:prstGeom>
                    <a:noFill/>
                  </pic:spPr>
                </pic:pic>
              </a:graphicData>
            </a:graphic>
          </wp:anchor>
        </w:drawing>
      </w:r>
    </w:p>
    <w:p>
      <w:pPr>
        <w:spacing w:after="0" w:line="22" w:lineRule="exact"/>
        <w:rPr>
          <w:sz w:val="20"/>
          <w:szCs w:val="20"/>
          <w:color w:val="auto"/>
        </w:rPr>
      </w:pPr>
    </w:p>
    <w:p>
      <w:pPr>
        <w:ind w:left="6500"/>
        <w:spacing w:after="0"/>
        <w:rPr>
          <w:sz w:val="20"/>
          <w:szCs w:val="20"/>
          <w:color w:val="auto"/>
        </w:rPr>
      </w:pPr>
      <w:r>
        <w:rPr>
          <w:rFonts w:ascii="Times New Roman" w:cs="Times New Roman" w:eastAsia="Times New Roman" w:hAnsi="Times New Roman"/>
          <w:sz w:val="16"/>
          <w:szCs w:val="16"/>
          <w:color w:val="auto"/>
        </w:rPr>
        <w:t>Charles J. Daley, Jr.</w:t>
      </w:r>
    </w:p>
    <w:p>
      <w:pPr>
        <w:ind w:left="6500"/>
        <w:spacing w:after="0" w:line="211" w:lineRule="auto"/>
        <w:rPr>
          <w:sz w:val="20"/>
          <w:szCs w:val="20"/>
          <w:color w:val="auto"/>
        </w:rPr>
      </w:pPr>
      <w:r>
        <w:rPr>
          <w:rFonts w:ascii="Times New Roman" w:cs="Times New Roman" w:eastAsia="Times New Roman" w:hAnsi="Times New Roman"/>
          <w:sz w:val="16"/>
          <w:szCs w:val="16"/>
          <w:color w:val="auto"/>
        </w:rPr>
        <w:t>Executive Vice President, Chief Financial Officer and Treasurer</w:t>
      </w:r>
    </w:p>
    <w:p>
      <w:pPr>
        <w:ind w:left="6500"/>
        <w:spacing w:after="0"/>
        <w:rPr>
          <w:sz w:val="20"/>
          <w:szCs w:val="20"/>
          <w:color w:val="auto"/>
        </w:rPr>
      </w:pPr>
      <w:r>
        <w:rPr>
          <w:rFonts w:ascii="Times New Roman" w:cs="Times New Roman" w:eastAsia="Times New Roman" w:hAnsi="Times New Roman"/>
          <w:sz w:val="16"/>
          <w:szCs w:val="16"/>
          <w:color w:val="auto"/>
        </w:rPr>
        <w:t>(principal financial officer)</w:t>
      </w:r>
    </w:p>
    <w:p>
      <w:pPr>
        <w:spacing w:after="0" w:line="230" w:lineRule="exact"/>
        <w:rPr>
          <w:sz w:val="20"/>
          <w:szCs w:val="20"/>
          <w:color w:val="auto"/>
        </w:rPr>
      </w:pPr>
    </w:p>
    <w:p>
      <w:pPr>
        <w:ind w:left="6500"/>
        <w:spacing w:after="0"/>
        <w:rPr>
          <w:sz w:val="20"/>
          <w:szCs w:val="20"/>
          <w:color w:val="auto"/>
        </w:rPr>
      </w:pPr>
      <w:r>
        <w:rPr>
          <w:rFonts w:ascii="Times New Roman" w:cs="Times New Roman" w:eastAsia="Times New Roman" w:hAnsi="Times New Roman"/>
          <w:sz w:val="16"/>
          <w:szCs w:val="16"/>
          <w:color w:val="auto"/>
        </w:rPr>
        <w:t>/s/ Ryan G. Von Hoff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4110990</wp:posOffset>
            </wp:positionH>
            <wp:positionV relativeFrom="paragraph">
              <wp:posOffset>20320</wp:posOffset>
            </wp:positionV>
            <wp:extent cx="3025775"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3025775" cy="8255"/>
                    </a:xfrm>
                    <a:prstGeom prst="rect">
                      <a:avLst/>
                    </a:prstGeom>
                    <a:noFill/>
                  </pic:spPr>
                </pic:pic>
              </a:graphicData>
            </a:graphic>
          </wp:anchor>
        </w:drawing>
      </w:r>
    </w:p>
    <w:p>
      <w:pPr>
        <w:spacing w:after="0" w:line="22" w:lineRule="exact"/>
        <w:rPr>
          <w:sz w:val="20"/>
          <w:szCs w:val="20"/>
          <w:color w:val="auto"/>
        </w:rPr>
      </w:pPr>
    </w:p>
    <w:p>
      <w:pPr>
        <w:ind w:left="6500"/>
        <w:spacing w:after="0"/>
        <w:rPr>
          <w:sz w:val="20"/>
          <w:szCs w:val="20"/>
          <w:color w:val="auto"/>
        </w:rPr>
      </w:pPr>
      <w:r>
        <w:rPr>
          <w:rFonts w:ascii="Times New Roman" w:cs="Times New Roman" w:eastAsia="Times New Roman" w:hAnsi="Times New Roman"/>
          <w:sz w:val="16"/>
          <w:szCs w:val="16"/>
          <w:color w:val="auto"/>
        </w:rPr>
        <w:t>Ryan G. Von Hoff</w:t>
      </w:r>
    </w:p>
    <w:p>
      <w:pPr>
        <w:ind w:left="6500"/>
        <w:spacing w:after="0" w:line="211" w:lineRule="auto"/>
        <w:rPr>
          <w:sz w:val="20"/>
          <w:szCs w:val="20"/>
          <w:color w:val="auto"/>
        </w:rPr>
      </w:pPr>
      <w:r>
        <w:rPr>
          <w:rFonts w:ascii="Times New Roman" w:cs="Times New Roman" w:eastAsia="Times New Roman" w:hAnsi="Times New Roman"/>
          <w:sz w:val="16"/>
          <w:szCs w:val="16"/>
          <w:color w:val="auto"/>
        </w:rPr>
        <w:t>Vice President, Chief Accounting Officer and Assistant Treasurer</w:t>
      </w:r>
    </w:p>
    <w:p>
      <w:pPr>
        <w:ind w:left="6500"/>
        <w:spacing w:after="0"/>
        <w:rPr>
          <w:sz w:val="20"/>
          <w:szCs w:val="20"/>
          <w:color w:val="auto"/>
        </w:rPr>
      </w:pPr>
      <w:r>
        <w:rPr>
          <w:rFonts w:ascii="Times New Roman" w:cs="Times New Roman" w:eastAsia="Times New Roman" w:hAnsi="Times New Roman"/>
          <w:sz w:val="16"/>
          <w:szCs w:val="16"/>
          <w:color w:val="auto"/>
        </w:rPr>
        <w:t>(principal accounting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42</w:t>
      </w:r>
    </w:p>
    <w:p>
      <w:pPr>
        <w:sectPr>
          <w:pgSz w:w="11900" w:h="16838" w:orient="portrait"/>
          <w:cols w:equalWidth="0" w:num="1">
            <w:col w:w="11240"/>
          </w:cols>
          <w:pgMar w:left="320" w:top="118" w:right="339" w:bottom="1440" w:gutter="0" w:footer="0" w:header="0"/>
        </w:sectPr>
      </w:pPr>
    </w:p>
    <w:bookmarkStart w:id="45" w:name="page46"/>
    <w:bookmarkEnd w:id="45"/>
    <w:p>
      <w:pPr>
        <w:jc w:val="right"/>
        <w:spacing w:after="0"/>
        <w:rPr>
          <w:sz w:val="20"/>
          <w:szCs w:val="20"/>
          <w:color w:val="auto"/>
        </w:rPr>
      </w:pPr>
      <w:r>
        <w:rPr>
          <w:rFonts w:ascii="Times New Roman" w:cs="Times New Roman" w:eastAsia="Times New Roman" w:hAnsi="Times New Roman"/>
          <w:sz w:val="14"/>
          <w:szCs w:val="14"/>
          <w:b w:val="1"/>
          <w:bCs w:val="1"/>
          <w:color w:val="auto"/>
        </w:rPr>
        <w:t>Exhibit 31.1</w:t>
      </w:r>
    </w:p>
    <w:p>
      <w:pPr>
        <w:spacing w:after="0" w:line="200" w:lineRule="exact"/>
        <w:rPr>
          <w:sz w:val="20"/>
          <w:szCs w:val="20"/>
          <w:color w:val="auto"/>
        </w:rPr>
      </w:pPr>
    </w:p>
    <w:p>
      <w:pPr>
        <w:spacing w:after="0" w:line="3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CERTIFICATION</w:t>
      </w: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 Jason A. Gottlieb, certify that:</w:t>
      </w:r>
    </w:p>
    <w:p>
      <w:pPr>
        <w:spacing w:after="0" w:line="262" w:lineRule="exact"/>
        <w:rPr>
          <w:sz w:val="20"/>
          <w:szCs w:val="20"/>
          <w:color w:val="auto"/>
        </w:rPr>
      </w:pPr>
    </w:p>
    <w:p>
      <w:pPr>
        <w:ind w:left="620" w:hanging="287"/>
        <w:spacing w:after="0"/>
        <w:tabs>
          <w:tab w:leader="none" w:pos="620" w:val="left"/>
        </w:tabs>
        <w:numPr>
          <w:ilvl w:val="0"/>
          <w:numId w:val="3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 have reviewed this report on Form 10-Q of Artisan Partners Asset Management Inc.;</w:t>
      </w:r>
    </w:p>
    <w:p>
      <w:pPr>
        <w:spacing w:after="0" w:line="261" w:lineRule="exact"/>
        <w:rPr>
          <w:rFonts w:ascii="Times New Roman" w:cs="Times New Roman" w:eastAsia="Times New Roman" w:hAnsi="Times New Roman"/>
          <w:sz w:val="16"/>
          <w:szCs w:val="16"/>
          <w:color w:val="auto"/>
        </w:rPr>
      </w:pPr>
    </w:p>
    <w:p>
      <w:pPr>
        <w:jc w:val="both"/>
        <w:ind w:left="660" w:right="500" w:hanging="327"/>
        <w:spacing w:after="0" w:line="298" w:lineRule="auto"/>
        <w:tabs>
          <w:tab w:leader="none" w:pos="691" w:val="left"/>
        </w:tabs>
        <w:numPr>
          <w:ilvl w:val="0"/>
          <w:numId w:val="3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7" w:lineRule="exact"/>
        <w:rPr>
          <w:rFonts w:ascii="Times New Roman" w:cs="Times New Roman" w:eastAsia="Times New Roman" w:hAnsi="Times New Roman"/>
          <w:sz w:val="16"/>
          <w:szCs w:val="16"/>
          <w:color w:val="auto"/>
        </w:rPr>
      </w:pPr>
    </w:p>
    <w:p>
      <w:pPr>
        <w:ind w:left="660" w:right="1000" w:hanging="327"/>
        <w:spacing w:after="0" w:line="298" w:lineRule="auto"/>
        <w:tabs>
          <w:tab w:leader="none" w:pos="619" w:val="left"/>
        </w:tabs>
        <w:numPr>
          <w:ilvl w:val="0"/>
          <w:numId w:val="3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91" w:lineRule="exact"/>
        <w:rPr>
          <w:rFonts w:ascii="Times New Roman" w:cs="Times New Roman" w:eastAsia="Times New Roman" w:hAnsi="Times New Roman"/>
          <w:sz w:val="16"/>
          <w:szCs w:val="16"/>
          <w:color w:val="auto"/>
        </w:rPr>
      </w:pPr>
    </w:p>
    <w:p>
      <w:pPr>
        <w:ind w:left="660" w:right="620" w:hanging="327"/>
        <w:spacing w:after="0" w:line="272" w:lineRule="auto"/>
        <w:tabs>
          <w:tab w:leader="none" w:pos="617" w:val="left"/>
        </w:tabs>
        <w:numPr>
          <w:ilvl w:val="0"/>
          <w:numId w:val="3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11" w:lineRule="exact"/>
        <w:rPr>
          <w:rFonts w:ascii="Times New Roman" w:cs="Times New Roman" w:eastAsia="Times New Roman" w:hAnsi="Times New Roman"/>
          <w:sz w:val="16"/>
          <w:szCs w:val="16"/>
          <w:color w:val="auto"/>
        </w:rPr>
      </w:pPr>
    </w:p>
    <w:p>
      <w:pPr>
        <w:ind w:left="1140" w:right="760" w:hanging="159"/>
        <w:spacing w:after="0" w:line="281" w:lineRule="auto"/>
        <w:tabs>
          <w:tab w:leader="none" w:pos="1131" w:val="left"/>
        </w:tabs>
        <w:numPr>
          <w:ilvl w:val="1"/>
          <w:numId w:val="3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4" w:lineRule="exact"/>
        <w:rPr>
          <w:rFonts w:ascii="Times New Roman" w:cs="Times New Roman" w:eastAsia="Times New Roman" w:hAnsi="Times New Roman"/>
          <w:sz w:val="16"/>
          <w:szCs w:val="16"/>
          <w:color w:val="auto"/>
        </w:rPr>
      </w:pPr>
    </w:p>
    <w:p>
      <w:pPr>
        <w:ind w:left="1140" w:right="700" w:hanging="159"/>
        <w:spacing w:after="0" w:line="281" w:lineRule="auto"/>
        <w:tabs>
          <w:tab w:leader="none" w:pos="1140" w:val="left"/>
        </w:tabs>
        <w:numPr>
          <w:ilvl w:val="1"/>
          <w:numId w:val="3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preparation of financial statements for external purposes in accordance with generally accepted accounting principles;</w:t>
      </w:r>
    </w:p>
    <w:p>
      <w:pPr>
        <w:spacing w:after="0" w:line="204" w:lineRule="exact"/>
        <w:rPr>
          <w:rFonts w:ascii="Times New Roman" w:cs="Times New Roman" w:eastAsia="Times New Roman" w:hAnsi="Times New Roman"/>
          <w:sz w:val="16"/>
          <w:szCs w:val="16"/>
          <w:color w:val="auto"/>
        </w:rPr>
      </w:pPr>
    </w:p>
    <w:p>
      <w:pPr>
        <w:jc w:val="both"/>
        <w:ind w:left="1140" w:right="1180" w:hanging="159"/>
        <w:spacing w:after="0" w:line="280" w:lineRule="auto"/>
        <w:tabs>
          <w:tab w:leader="none" w:pos="1131" w:val="left"/>
        </w:tabs>
        <w:numPr>
          <w:ilvl w:val="1"/>
          <w:numId w:val="3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05" w:lineRule="exact"/>
        <w:rPr>
          <w:rFonts w:ascii="Times New Roman" w:cs="Times New Roman" w:eastAsia="Times New Roman" w:hAnsi="Times New Roman"/>
          <w:sz w:val="16"/>
          <w:szCs w:val="16"/>
          <w:color w:val="auto"/>
        </w:rPr>
      </w:pPr>
    </w:p>
    <w:p>
      <w:pPr>
        <w:ind w:left="1140" w:right="740" w:hanging="159"/>
        <w:spacing w:after="0" w:line="281" w:lineRule="auto"/>
        <w:tabs>
          <w:tab w:leader="none" w:pos="1140" w:val="left"/>
        </w:tabs>
        <w:numPr>
          <w:ilvl w:val="1"/>
          <w:numId w:val="3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4" w:lineRule="exact"/>
        <w:rPr>
          <w:rFonts w:ascii="Times New Roman" w:cs="Times New Roman" w:eastAsia="Times New Roman" w:hAnsi="Times New Roman"/>
          <w:sz w:val="16"/>
          <w:szCs w:val="16"/>
          <w:color w:val="auto"/>
        </w:rPr>
      </w:pPr>
    </w:p>
    <w:p>
      <w:pPr>
        <w:ind w:left="660" w:right="660" w:hanging="327"/>
        <w:spacing w:after="0" w:line="280" w:lineRule="auto"/>
        <w:tabs>
          <w:tab w:leader="none" w:pos="660" w:val="left"/>
        </w:tabs>
        <w:numPr>
          <w:ilvl w:val="0"/>
          <w:numId w:val="3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205" w:lineRule="exact"/>
        <w:rPr>
          <w:rFonts w:ascii="Times New Roman" w:cs="Times New Roman" w:eastAsia="Times New Roman" w:hAnsi="Times New Roman"/>
          <w:sz w:val="16"/>
          <w:szCs w:val="16"/>
          <w:color w:val="auto"/>
        </w:rPr>
      </w:pPr>
    </w:p>
    <w:p>
      <w:pPr>
        <w:ind w:left="1140" w:right="660" w:hanging="159"/>
        <w:spacing w:after="0" w:line="298" w:lineRule="auto"/>
        <w:tabs>
          <w:tab w:leader="none" w:pos="1131" w:val="left"/>
        </w:tabs>
        <w:numPr>
          <w:ilvl w:val="1"/>
          <w:numId w:val="3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91" w:lineRule="exact"/>
        <w:rPr>
          <w:rFonts w:ascii="Times New Roman" w:cs="Times New Roman" w:eastAsia="Times New Roman" w:hAnsi="Times New Roman"/>
          <w:sz w:val="16"/>
          <w:szCs w:val="16"/>
          <w:color w:val="auto"/>
        </w:rPr>
      </w:pPr>
    </w:p>
    <w:p>
      <w:pPr>
        <w:ind w:left="1140" w:right="620" w:hanging="159"/>
        <w:spacing w:after="0" w:line="298" w:lineRule="auto"/>
        <w:tabs>
          <w:tab w:leader="none" w:pos="1140" w:val="left"/>
        </w:tabs>
        <w:numPr>
          <w:ilvl w:val="1"/>
          <w:numId w:val="3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ind w:left="3620"/>
        <w:spacing w:after="0"/>
        <w:rPr>
          <w:sz w:val="20"/>
          <w:szCs w:val="20"/>
          <w:color w:val="auto"/>
        </w:rPr>
      </w:pPr>
      <w:r>
        <w:rPr>
          <w:rFonts w:ascii="Times New Roman" w:cs="Times New Roman" w:eastAsia="Times New Roman" w:hAnsi="Times New Roman"/>
          <w:sz w:val="16"/>
          <w:szCs w:val="16"/>
          <w:color w:val="auto"/>
        </w:rPr>
        <w:t>/s/ Jason A. Gottlieb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2286000</wp:posOffset>
            </wp:positionH>
            <wp:positionV relativeFrom="paragraph">
              <wp:posOffset>20320</wp:posOffset>
            </wp:positionV>
            <wp:extent cx="246888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2468880" cy="8255"/>
                    </a:xfrm>
                    <a:prstGeom prst="rect">
                      <a:avLst/>
                    </a:prstGeom>
                    <a:noFill/>
                  </pic:spPr>
                </pic:pic>
              </a:graphicData>
            </a:graphic>
          </wp:anchor>
        </w:drawing>
      </w:r>
    </w:p>
    <w:p>
      <w:pPr>
        <w:spacing w:after="0" w:line="22" w:lineRule="exact"/>
        <w:rPr>
          <w:sz w:val="20"/>
          <w:szCs w:val="20"/>
          <w:color w:val="auto"/>
        </w:rPr>
      </w:pPr>
    </w:p>
    <w:p>
      <w:pPr>
        <w:ind w:left="3620"/>
        <w:spacing w:after="0"/>
        <w:rPr>
          <w:sz w:val="20"/>
          <w:szCs w:val="20"/>
          <w:color w:val="auto"/>
        </w:rPr>
      </w:pPr>
      <w:r>
        <w:rPr>
          <w:rFonts w:ascii="Times New Roman" w:cs="Times New Roman" w:eastAsia="Times New Roman" w:hAnsi="Times New Roman"/>
          <w:sz w:val="16"/>
          <w:szCs w:val="16"/>
          <w:color w:val="auto"/>
        </w:rPr>
        <w:t>Jason A. Gottlieb</w:t>
      </w:r>
    </w:p>
    <w:p>
      <w:pPr>
        <w:ind w:left="3620"/>
        <w:spacing w:after="0" w:line="211" w:lineRule="auto"/>
        <w:rPr>
          <w:sz w:val="20"/>
          <w:szCs w:val="20"/>
          <w:color w:val="auto"/>
        </w:rPr>
      </w:pPr>
      <w:r>
        <w:rPr>
          <w:rFonts w:ascii="Times New Roman" w:cs="Times New Roman" w:eastAsia="Times New Roman" w:hAnsi="Times New Roman"/>
          <w:sz w:val="16"/>
          <w:szCs w:val="16"/>
          <w:color w:val="auto"/>
        </w:rPr>
        <w:t>Chief Executive Officer and President</w:t>
      </w:r>
    </w:p>
    <w:p>
      <w:pPr>
        <w:ind w:left="3620"/>
        <w:spacing w:after="0"/>
        <w:rPr>
          <w:sz w:val="20"/>
          <w:szCs w:val="20"/>
          <w:color w:val="auto"/>
        </w:rPr>
      </w:pPr>
      <w:r>
        <w:rPr>
          <w:rFonts w:ascii="Times New Roman" w:cs="Times New Roman" w:eastAsia="Times New Roman" w:hAnsi="Times New Roman"/>
          <w:sz w:val="16"/>
          <w:szCs w:val="16"/>
          <w:color w:val="auto"/>
        </w:rPr>
        <w:t>(principal executive officer)</w:t>
      </w:r>
    </w:p>
    <w:p>
      <w:pPr>
        <w:spacing w:after="0" w:line="200" w:lineRule="exact"/>
        <w:rPr>
          <w:sz w:val="20"/>
          <w:szCs w:val="20"/>
          <w:color w:val="auto"/>
        </w:rPr>
      </w:pPr>
    </w:p>
    <w:p>
      <w:pPr>
        <w:spacing w:after="0" w:line="233"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color w:val="auto"/>
        </w:rPr>
        <w:t>Date: May 4, 2026</w:t>
      </w:r>
    </w:p>
    <w:p>
      <w:pPr>
        <w:sectPr>
          <w:pgSz w:w="11900" w:h="16838" w:orient="portrait"/>
          <w:cols w:equalWidth="0" w:num="1">
            <w:col w:w="11080"/>
          </w:cols>
          <w:pgMar w:left="400" w:top="574" w:right="419" w:bottom="1440" w:gutter="0" w:footer="0" w:header="0"/>
        </w:sectPr>
      </w:pPr>
    </w:p>
    <w:bookmarkStart w:id="46" w:name="page47"/>
    <w:bookmarkEnd w:id="46"/>
    <w:p>
      <w:pPr>
        <w:jc w:val="right"/>
        <w:spacing w:after="0"/>
        <w:rPr>
          <w:sz w:val="20"/>
          <w:szCs w:val="20"/>
          <w:color w:val="auto"/>
        </w:rPr>
      </w:pPr>
      <w:r>
        <w:rPr>
          <w:rFonts w:ascii="Times New Roman" w:cs="Times New Roman" w:eastAsia="Times New Roman" w:hAnsi="Times New Roman"/>
          <w:sz w:val="14"/>
          <w:szCs w:val="14"/>
          <w:b w:val="1"/>
          <w:bCs w:val="1"/>
          <w:color w:val="auto"/>
        </w:rPr>
        <w:t>Exhibit 31.2</w:t>
      </w:r>
    </w:p>
    <w:p>
      <w:pPr>
        <w:spacing w:after="0" w:line="3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CERTIFICATION</w:t>
      </w: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 Charles J. Daley, Jr., certify that:</w:t>
      </w:r>
    </w:p>
    <w:p>
      <w:pPr>
        <w:spacing w:after="0" w:line="262" w:lineRule="exact"/>
        <w:rPr>
          <w:sz w:val="20"/>
          <w:szCs w:val="20"/>
          <w:color w:val="auto"/>
        </w:rPr>
      </w:pPr>
    </w:p>
    <w:p>
      <w:pPr>
        <w:ind w:left="620" w:hanging="287"/>
        <w:spacing w:after="0"/>
        <w:tabs>
          <w:tab w:leader="none" w:pos="620" w:val="left"/>
        </w:tabs>
        <w:numPr>
          <w:ilvl w:val="0"/>
          <w:numId w:val="3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 have reviewed this report on Form 10-Q of Artisan Partners Asset Management Inc.;</w:t>
      </w:r>
    </w:p>
    <w:p>
      <w:pPr>
        <w:spacing w:after="0" w:line="261" w:lineRule="exact"/>
        <w:rPr>
          <w:rFonts w:ascii="Times New Roman" w:cs="Times New Roman" w:eastAsia="Times New Roman" w:hAnsi="Times New Roman"/>
          <w:sz w:val="16"/>
          <w:szCs w:val="16"/>
          <w:color w:val="auto"/>
        </w:rPr>
      </w:pPr>
    </w:p>
    <w:p>
      <w:pPr>
        <w:jc w:val="both"/>
        <w:ind w:left="660" w:right="500" w:hanging="327"/>
        <w:spacing w:after="0" w:line="298" w:lineRule="auto"/>
        <w:tabs>
          <w:tab w:leader="none" w:pos="691" w:val="left"/>
        </w:tabs>
        <w:numPr>
          <w:ilvl w:val="0"/>
          <w:numId w:val="3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7" w:lineRule="exact"/>
        <w:rPr>
          <w:rFonts w:ascii="Times New Roman" w:cs="Times New Roman" w:eastAsia="Times New Roman" w:hAnsi="Times New Roman"/>
          <w:sz w:val="16"/>
          <w:szCs w:val="16"/>
          <w:color w:val="auto"/>
        </w:rPr>
      </w:pPr>
    </w:p>
    <w:p>
      <w:pPr>
        <w:ind w:left="660" w:right="1000" w:hanging="327"/>
        <w:spacing w:after="0" w:line="298" w:lineRule="auto"/>
        <w:tabs>
          <w:tab w:leader="none" w:pos="619" w:val="left"/>
        </w:tabs>
        <w:numPr>
          <w:ilvl w:val="0"/>
          <w:numId w:val="3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91" w:lineRule="exact"/>
        <w:rPr>
          <w:rFonts w:ascii="Times New Roman" w:cs="Times New Roman" w:eastAsia="Times New Roman" w:hAnsi="Times New Roman"/>
          <w:sz w:val="16"/>
          <w:szCs w:val="16"/>
          <w:color w:val="auto"/>
        </w:rPr>
      </w:pPr>
    </w:p>
    <w:p>
      <w:pPr>
        <w:ind w:left="660" w:right="620" w:hanging="327"/>
        <w:spacing w:after="0" w:line="272" w:lineRule="auto"/>
        <w:tabs>
          <w:tab w:leader="none" w:pos="617" w:val="left"/>
        </w:tabs>
        <w:numPr>
          <w:ilvl w:val="0"/>
          <w:numId w:val="3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11" w:lineRule="exact"/>
        <w:rPr>
          <w:rFonts w:ascii="Times New Roman" w:cs="Times New Roman" w:eastAsia="Times New Roman" w:hAnsi="Times New Roman"/>
          <w:sz w:val="16"/>
          <w:szCs w:val="16"/>
          <w:color w:val="auto"/>
        </w:rPr>
      </w:pPr>
    </w:p>
    <w:p>
      <w:pPr>
        <w:ind w:left="1140" w:right="760" w:hanging="159"/>
        <w:spacing w:after="0" w:line="281" w:lineRule="auto"/>
        <w:tabs>
          <w:tab w:leader="none" w:pos="1131" w:val="left"/>
        </w:tabs>
        <w:numPr>
          <w:ilvl w:val="1"/>
          <w:numId w:val="3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4" w:lineRule="exact"/>
        <w:rPr>
          <w:rFonts w:ascii="Times New Roman" w:cs="Times New Roman" w:eastAsia="Times New Roman" w:hAnsi="Times New Roman"/>
          <w:sz w:val="16"/>
          <w:szCs w:val="16"/>
          <w:color w:val="auto"/>
        </w:rPr>
      </w:pPr>
    </w:p>
    <w:p>
      <w:pPr>
        <w:ind w:left="1140" w:right="700" w:hanging="159"/>
        <w:spacing w:after="0" w:line="281" w:lineRule="auto"/>
        <w:tabs>
          <w:tab w:leader="none" w:pos="1140" w:val="left"/>
        </w:tabs>
        <w:numPr>
          <w:ilvl w:val="1"/>
          <w:numId w:val="3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preparation of financial statements for external purposes in accordance with generally accepted accounting principles;</w:t>
      </w:r>
    </w:p>
    <w:p>
      <w:pPr>
        <w:spacing w:after="0" w:line="204" w:lineRule="exact"/>
        <w:rPr>
          <w:rFonts w:ascii="Times New Roman" w:cs="Times New Roman" w:eastAsia="Times New Roman" w:hAnsi="Times New Roman"/>
          <w:sz w:val="16"/>
          <w:szCs w:val="16"/>
          <w:color w:val="auto"/>
        </w:rPr>
      </w:pPr>
    </w:p>
    <w:p>
      <w:pPr>
        <w:jc w:val="both"/>
        <w:ind w:left="1140" w:right="1180" w:hanging="159"/>
        <w:spacing w:after="0" w:line="280" w:lineRule="auto"/>
        <w:tabs>
          <w:tab w:leader="none" w:pos="1131" w:val="left"/>
        </w:tabs>
        <w:numPr>
          <w:ilvl w:val="1"/>
          <w:numId w:val="3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05" w:lineRule="exact"/>
        <w:rPr>
          <w:rFonts w:ascii="Times New Roman" w:cs="Times New Roman" w:eastAsia="Times New Roman" w:hAnsi="Times New Roman"/>
          <w:sz w:val="16"/>
          <w:szCs w:val="16"/>
          <w:color w:val="auto"/>
        </w:rPr>
      </w:pPr>
    </w:p>
    <w:p>
      <w:pPr>
        <w:ind w:left="1140" w:right="740" w:hanging="159"/>
        <w:spacing w:after="0" w:line="281" w:lineRule="auto"/>
        <w:tabs>
          <w:tab w:leader="none" w:pos="1140" w:val="left"/>
        </w:tabs>
        <w:numPr>
          <w:ilvl w:val="1"/>
          <w:numId w:val="3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4" w:lineRule="exact"/>
        <w:rPr>
          <w:rFonts w:ascii="Times New Roman" w:cs="Times New Roman" w:eastAsia="Times New Roman" w:hAnsi="Times New Roman"/>
          <w:sz w:val="16"/>
          <w:szCs w:val="16"/>
          <w:color w:val="auto"/>
        </w:rPr>
      </w:pPr>
    </w:p>
    <w:p>
      <w:pPr>
        <w:ind w:left="660" w:right="660" w:hanging="327"/>
        <w:spacing w:after="0" w:line="280" w:lineRule="auto"/>
        <w:tabs>
          <w:tab w:leader="none" w:pos="660" w:val="left"/>
        </w:tabs>
        <w:numPr>
          <w:ilvl w:val="0"/>
          <w:numId w:val="3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205" w:lineRule="exact"/>
        <w:rPr>
          <w:rFonts w:ascii="Times New Roman" w:cs="Times New Roman" w:eastAsia="Times New Roman" w:hAnsi="Times New Roman"/>
          <w:sz w:val="16"/>
          <w:szCs w:val="16"/>
          <w:color w:val="auto"/>
        </w:rPr>
      </w:pPr>
    </w:p>
    <w:p>
      <w:pPr>
        <w:ind w:left="1140" w:right="660" w:hanging="159"/>
        <w:spacing w:after="0" w:line="298" w:lineRule="auto"/>
        <w:tabs>
          <w:tab w:leader="none" w:pos="1131" w:val="left"/>
        </w:tabs>
        <w:numPr>
          <w:ilvl w:val="1"/>
          <w:numId w:val="3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91" w:lineRule="exact"/>
        <w:rPr>
          <w:rFonts w:ascii="Times New Roman" w:cs="Times New Roman" w:eastAsia="Times New Roman" w:hAnsi="Times New Roman"/>
          <w:sz w:val="16"/>
          <w:szCs w:val="16"/>
          <w:color w:val="auto"/>
        </w:rPr>
      </w:pPr>
    </w:p>
    <w:p>
      <w:pPr>
        <w:ind w:left="1140" w:right="620" w:hanging="159"/>
        <w:spacing w:after="0" w:line="298" w:lineRule="auto"/>
        <w:tabs>
          <w:tab w:leader="none" w:pos="1140" w:val="left"/>
        </w:tabs>
        <w:numPr>
          <w:ilvl w:val="1"/>
          <w:numId w:val="3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ind w:left="3600"/>
        <w:spacing w:after="0"/>
        <w:rPr>
          <w:sz w:val="20"/>
          <w:szCs w:val="20"/>
          <w:color w:val="auto"/>
        </w:rPr>
      </w:pPr>
      <w:r>
        <w:rPr>
          <w:rFonts w:ascii="Times New Roman" w:cs="Times New Roman" w:eastAsia="Times New Roman" w:hAnsi="Times New Roman"/>
          <w:sz w:val="16"/>
          <w:szCs w:val="16"/>
          <w:color w:val="auto"/>
        </w:rPr>
        <w:t>/s/ Charles J. Daley,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2268855</wp:posOffset>
            </wp:positionH>
            <wp:positionV relativeFrom="paragraph">
              <wp:posOffset>20320</wp:posOffset>
            </wp:positionV>
            <wp:extent cx="2400300"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2400300" cy="8255"/>
                    </a:xfrm>
                    <a:prstGeom prst="rect">
                      <a:avLst/>
                    </a:prstGeom>
                    <a:noFill/>
                  </pic:spPr>
                </pic:pic>
              </a:graphicData>
            </a:graphic>
          </wp:anchor>
        </w:drawing>
      </w:r>
    </w:p>
    <w:p>
      <w:pPr>
        <w:spacing w:after="0" w:line="22" w:lineRule="exact"/>
        <w:rPr>
          <w:sz w:val="20"/>
          <w:szCs w:val="20"/>
          <w:color w:val="auto"/>
        </w:rPr>
      </w:pPr>
    </w:p>
    <w:p>
      <w:pPr>
        <w:ind w:left="3600"/>
        <w:spacing w:after="0"/>
        <w:rPr>
          <w:sz w:val="20"/>
          <w:szCs w:val="20"/>
          <w:color w:val="auto"/>
        </w:rPr>
      </w:pPr>
      <w:r>
        <w:rPr>
          <w:rFonts w:ascii="Times New Roman" w:cs="Times New Roman" w:eastAsia="Times New Roman" w:hAnsi="Times New Roman"/>
          <w:sz w:val="16"/>
          <w:szCs w:val="16"/>
          <w:color w:val="auto"/>
        </w:rPr>
        <w:t>Charles J. Daley, Jr.</w:t>
      </w:r>
    </w:p>
    <w:p>
      <w:pPr>
        <w:ind w:left="3600"/>
        <w:spacing w:after="0" w:line="211" w:lineRule="auto"/>
        <w:rPr>
          <w:sz w:val="20"/>
          <w:szCs w:val="20"/>
          <w:color w:val="auto"/>
        </w:rPr>
      </w:pPr>
      <w:r>
        <w:rPr>
          <w:rFonts w:ascii="Times New Roman" w:cs="Times New Roman" w:eastAsia="Times New Roman" w:hAnsi="Times New Roman"/>
          <w:sz w:val="16"/>
          <w:szCs w:val="16"/>
          <w:color w:val="auto"/>
        </w:rPr>
        <w:t>Executive Vice President, Chief Financial Officer and</w:t>
      </w:r>
    </w:p>
    <w:p>
      <w:pPr>
        <w:ind w:left="3600"/>
        <w:spacing w:after="0" w:line="211" w:lineRule="auto"/>
        <w:rPr>
          <w:sz w:val="20"/>
          <w:szCs w:val="20"/>
          <w:color w:val="auto"/>
        </w:rPr>
      </w:pPr>
      <w:r>
        <w:rPr>
          <w:rFonts w:ascii="Times New Roman" w:cs="Times New Roman" w:eastAsia="Times New Roman" w:hAnsi="Times New Roman"/>
          <w:sz w:val="16"/>
          <w:szCs w:val="16"/>
          <w:color w:val="auto"/>
        </w:rPr>
        <w:t>Treasurer</w:t>
      </w:r>
    </w:p>
    <w:p>
      <w:pPr>
        <w:ind w:left="3600"/>
        <w:spacing w:after="0"/>
        <w:rPr>
          <w:sz w:val="20"/>
          <w:szCs w:val="20"/>
          <w:color w:val="auto"/>
        </w:rPr>
      </w:pPr>
      <w:r>
        <w:rPr>
          <w:rFonts w:ascii="Times New Roman" w:cs="Times New Roman" w:eastAsia="Times New Roman" w:hAnsi="Times New Roman"/>
          <w:sz w:val="16"/>
          <w:szCs w:val="16"/>
          <w:color w:val="auto"/>
        </w:rPr>
        <w:t>(principal financial officer)</w:t>
      </w:r>
    </w:p>
    <w:p>
      <w:pPr>
        <w:spacing w:after="0" w:line="200" w:lineRule="exact"/>
        <w:rPr>
          <w:sz w:val="20"/>
          <w:szCs w:val="20"/>
          <w:color w:val="auto"/>
        </w:rPr>
      </w:pPr>
    </w:p>
    <w:p>
      <w:pPr>
        <w:spacing w:after="0" w:line="233"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6"/>
          <w:szCs w:val="16"/>
          <w:color w:val="auto"/>
        </w:rPr>
        <w:t>Date: May 4, 2026</w:t>
      </w:r>
    </w:p>
    <w:p>
      <w:pPr>
        <w:sectPr>
          <w:pgSz w:w="11900" w:h="16838" w:orient="portrait"/>
          <w:cols w:equalWidth="0" w:num="1">
            <w:col w:w="11080"/>
          </w:cols>
          <w:pgMar w:left="400" w:top="574" w:right="419" w:bottom="1440" w:gutter="0" w:footer="0" w:header="0"/>
        </w:sectPr>
      </w:pPr>
    </w:p>
    <w:bookmarkStart w:id="47" w:name="page48"/>
    <w:bookmarkEnd w:id="47"/>
    <w:p>
      <w:pPr>
        <w:jc w:val="right"/>
        <w:spacing w:after="0"/>
        <w:rPr>
          <w:sz w:val="20"/>
          <w:szCs w:val="20"/>
          <w:color w:val="auto"/>
        </w:rPr>
      </w:pPr>
      <w:r>
        <w:rPr>
          <w:rFonts w:ascii="Times New Roman" w:cs="Times New Roman" w:eastAsia="Times New Roman" w:hAnsi="Times New Roman"/>
          <w:sz w:val="14"/>
          <w:szCs w:val="14"/>
          <w:b w:val="1"/>
          <w:bCs w:val="1"/>
          <w:color w:val="auto"/>
        </w:rPr>
        <w:t>Exhibit 32.1</w:t>
      </w:r>
    </w:p>
    <w:p>
      <w:pPr>
        <w:spacing w:after="0" w:line="2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CERTIFICATION PURSUANT TO</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18 U.S.C. SECTION 1350, AS ADOPTED PURSUANT TO SECTION 906 OF THE</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SARBANES-OXLEY ACT OF 2002</w:t>
      </w: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ind w:right="540"/>
        <w:spacing w:after="0" w:line="298" w:lineRule="auto"/>
        <w:rPr>
          <w:sz w:val="20"/>
          <w:szCs w:val="20"/>
          <w:color w:val="auto"/>
        </w:rPr>
      </w:pPr>
      <w:r>
        <w:rPr>
          <w:rFonts w:ascii="Times New Roman" w:cs="Times New Roman" w:eastAsia="Times New Roman" w:hAnsi="Times New Roman"/>
          <w:sz w:val="16"/>
          <w:szCs w:val="16"/>
          <w:color w:val="auto"/>
        </w:rPr>
        <w:t>I, Jason A. Gottlieb, the Chief Executive Officer of Artisan Partners Asset Management Inc. (the “Company”), hereby certify, pursuant to 18 U.S.C. Section 1350, as adopted pursuant to Section 906 of the Sarbanes-Oxley Act of 2002, that:</w:t>
      </w:r>
    </w:p>
    <w:p>
      <w:pPr>
        <w:spacing w:after="0" w:line="191" w:lineRule="exact"/>
        <w:rPr>
          <w:sz w:val="20"/>
          <w:szCs w:val="20"/>
          <w:color w:val="auto"/>
        </w:rPr>
      </w:pPr>
    </w:p>
    <w:p>
      <w:pPr>
        <w:ind w:left="660" w:right="660" w:hanging="327"/>
        <w:spacing w:after="0" w:line="295" w:lineRule="auto"/>
        <w:tabs>
          <w:tab w:leader="none" w:pos="552" w:val="left"/>
        </w:tabs>
        <w:numPr>
          <w:ilvl w:val="0"/>
          <w:numId w:val="3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Quarterly Report on Form 10-Q of the Company for the period ended March 31, 2026 as filed with the Securities and Exchange Commission on the date hereof (the “Form 10-Q”), fully complies with the requirements of Section 13(a) or 15(d) of the Securities Exchange Act of 1934, as amended; and</w:t>
      </w:r>
    </w:p>
    <w:p>
      <w:pPr>
        <w:spacing w:after="0" w:line="398" w:lineRule="exact"/>
        <w:rPr>
          <w:rFonts w:ascii="Times New Roman" w:cs="Times New Roman" w:eastAsia="Times New Roman" w:hAnsi="Times New Roman"/>
          <w:sz w:val="16"/>
          <w:szCs w:val="16"/>
          <w:color w:val="auto"/>
        </w:rPr>
      </w:pPr>
    </w:p>
    <w:p>
      <w:pPr>
        <w:ind w:left="540" w:hanging="207"/>
        <w:spacing w:after="0"/>
        <w:tabs>
          <w:tab w:leader="none" w:pos="540" w:val="left"/>
        </w:tabs>
        <w:numPr>
          <w:ilvl w:val="0"/>
          <w:numId w:val="3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information contained in the Form 10-Q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ind w:left="3760"/>
        <w:spacing w:after="0"/>
        <w:rPr>
          <w:sz w:val="20"/>
          <w:szCs w:val="20"/>
          <w:color w:val="auto"/>
        </w:rPr>
      </w:pPr>
      <w:r>
        <w:rPr>
          <w:rFonts w:ascii="Times New Roman" w:cs="Times New Roman" w:eastAsia="Times New Roman" w:hAnsi="Times New Roman"/>
          <w:sz w:val="16"/>
          <w:szCs w:val="16"/>
          <w:color w:val="auto"/>
        </w:rPr>
        <w:t>/s/ Jason A. Gottlieb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2371725</wp:posOffset>
            </wp:positionH>
            <wp:positionV relativeFrom="paragraph">
              <wp:posOffset>20320</wp:posOffset>
            </wp:positionV>
            <wp:extent cx="2297430"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2297430" cy="8255"/>
                    </a:xfrm>
                    <a:prstGeom prst="rect">
                      <a:avLst/>
                    </a:prstGeom>
                    <a:noFill/>
                  </pic:spPr>
                </pic:pic>
              </a:graphicData>
            </a:graphic>
          </wp:anchor>
        </w:drawing>
      </w:r>
    </w:p>
    <w:p>
      <w:pPr>
        <w:spacing w:after="0" w:line="22" w:lineRule="exact"/>
        <w:rPr>
          <w:sz w:val="20"/>
          <w:szCs w:val="20"/>
          <w:color w:val="auto"/>
        </w:rPr>
      </w:pPr>
    </w:p>
    <w:p>
      <w:pPr>
        <w:ind w:left="3760"/>
        <w:spacing w:after="0"/>
        <w:rPr>
          <w:sz w:val="20"/>
          <w:szCs w:val="20"/>
          <w:color w:val="auto"/>
        </w:rPr>
      </w:pPr>
      <w:r>
        <w:rPr>
          <w:rFonts w:ascii="Times New Roman" w:cs="Times New Roman" w:eastAsia="Times New Roman" w:hAnsi="Times New Roman"/>
          <w:sz w:val="16"/>
          <w:szCs w:val="16"/>
          <w:color w:val="auto"/>
        </w:rPr>
        <w:t>Jason A. Gottlieb</w:t>
      </w:r>
    </w:p>
    <w:p>
      <w:pPr>
        <w:ind w:left="3760"/>
        <w:spacing w:after="0" w:line="211" w:lineRule="auto"/>
        <w:rPr>
          <w:sz w:val="20"/>
          <w:szCs w:val="20"/>
          <w:color w:val="auto"/>
        </w:rPr>
      </w:pPr>
      <w:r>
        <w:rPr>
          <w:rFonts w:ascii="Times New Roman" w:cs="Times New Roman" w:eastAsia="Times New Roman" w:hAnsi="Times New Roman"/>
          <w:sz w:val="16"/>
          <w:szCs w:val="16"/>
          <w:color w:val="auto"/>
        </w:rPr>
        <w:t>Chief Executive Officer and President</w:t>
      </w:r>
    </w:p>
    <w:p>
      <w:pPr>
        <w:ind w:left="3760"/>
        <w:spacing w:after="0"/>
        <w:rPr>
          <w:sz w:val="20"/>
          <w:szCs w:val="20"/>
          <w:color w:val="auto"/>
        </w:rPr>
      </w:pPr>
      <w:r>
        <w:rPr>
          <w:rFonts w:ascii="Times New Roman" w:cs="Times New Roman" w:eastAsia="Times New Roman" w:hAnsi="Times New Roman"/>
          <w:sz w:val="16"/>
          <w:szCs w:val="16"/>
          <w:color w:val="auto"/>
        </w:rPr>
        <w:t>(principal executive officer)</w:t>
      </w: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6"/>
          <w:szCs w:val="16"/>
          <w:color w:val="auto"/>
        </w:rPr>
        <w:t>Date: May 4, 2026</w:t>
      </w:r>
    </w:p>
    <w:p>
      <w:pPr>
        <w:sectPr>
          <w:pgSz w:w="11900" w:h="16838" w:orient="portrait"/>
          <w:cols w:equalWidth="0" w:num="1">
            <w:col w:w="11080"/>
          </w:cols>
          <w:pgMar w:left="400" w:top="574" w:right="419" w:bottom="1440" w:gutter="0" w:footer="0" w:header="0"/>
        </w:sectPr>
      </w:pPr>
    </w:p>
    <w:bookmarkStart w:id="48" w:name="page49"/>
    <w:bookmarkEnd w:id="48"/>
    <w:p>
      <w:pPr>
        <w:jc w:val="right"/>
        <w:spacing w:after="0"/>
        <w:rPr>
          <w:sz w:val="20"/>
          <w:szCs w:val="20"/>
          <w:color w:val="auto"/>
        </w:rPr>
      </w:pPr>
      <w:r>
        <w:rPr>
          <w:rFonts w:ascii="Times New Roman" w:cs="Times New Roman" w:eastAsia="Times New Roman" w:hAnsi="Times New Roman"/>
          <w:sz w:val="14"/>
          <w:szCs w:val="14"/>
          <w:b w:val="1"/>
          <w:bCs w:val="1"/>
          <w:color w:val="auto"/>
        </w:rPr>
        <w:t>Exhibit 32.2</w:t>
      </w:r>
    </w:p>
    <w:p>
      <w:pPr>
        <w:spacing w:after="0" w:line="2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CERTIFICATION PURSUANT TO</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18 U.S.C. SECTION 1350, AS ADOPTED PURSUANT TO SECTION 906 OF THE</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SARBANES-OXLEY ACT OF 2002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ind w:right="660"/>
        <w:spacing w:after="0" w:line="298" w:lineRule="auto"/>
        <w:rPr>
          <w:sz w:val="20"/>
          <w:szCs w:val="20"/>
          <w:color w:val="auto"/>
        </w:rPr>
      </w:pPr>
      <w:r>
        <w:rPr>
          <w:rFonts w:ascii="Times New Roman" w:cs="Times New Roman" w:eastAsia="Times New Roman" w:hAnsi="Times New Roman"/>
          <w:sz w:val="16"/>
          <w:szCs w:val="16"/>
          <w:color w:val="auto"/>
        </w:rPr>
        <w:t>I, Charles J. Daley, Jr., the Executive Vice President, Chief Financial Officer and Treasurer of Artisan Partners Asset Management Inc. (the “Company”), hereby certify, pursuant to 18 U.S.C. Section 1350, as adopted pursuant to Section 906 of the Sarbanes-Oxley Act of 2002, that:</w:t>
      </w:r>
    </w:p>
    <w:p>
      <w:pPr>
        <w:spacing w:after="0" w:line="205" w:lineRule="exact"/>
        <w:rPr>
          <w:sz w:val="20"/>
          <w:szCs w:val="20"/>
          <w:color w:val="auto"/>
        </w:rPr>
      </w:pPr>
    </w:p>
    <w:p>
      <w:pPr>
        <w:ind w:left="660" w:right="620" w:hanging="327"/>
        <w:spacing w:after="0" w:line="265" w:lineRule="auto"/>
        <w:tabs>
          <w:tab w:leader="none" w:pos="579"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6"/>
          <w:szCs w:val="16"/>
          <w:color w:val="auto"/>
        </w:rPr>
        <w:t>The Quarterly Report on Form 10-Q of the Company for the period ended March 31, 2026 as filed with the Securities and Exchange Commission on the date hereof (the “Form 10-Q”), fully complies with the requirements of Section 13(a) or 15(d) of the Securities Exchange Act of 1934, as amended; and</w:t>
      </w:r>
    </w:p>
    <w:p>
      <w:pPr>
        <w:spacing w:after="0" w:line="200" w:lineRule="exact"/>
        <w:rPr>
          <w:rFonts w:ascii="Times New Roman" w:cs="Times New Roman" w:eastAsia="Times New Roman" w:hAnsi="Times New Roman"/>
          <w:sz w:val="18"/>
          <w:szCs w:val="18"/>
          <w:color w:val="auto"/>
        </w:rPr>
      </w:pPr>
    </w:p>
    <w:p>
      <w:pPr>
        <w:spacing w:after="0" w:line="232" w:lineRule="exact"/>
        <w:rPr>
          <w:rFonts w:ascii="Times New Roman" w:cs="Times New Roman" w:eastAsia="Times New Roman" w:hAnsi="Times New Roman"/>
          <w:sz w:val="18"/>
          <w:szCs w:val="18"/>
          <w:color w:val="auto"/>
        </w:rPr>
      </w:pPr>
    </w:p>
    <w:p>
      <w:pPr>
        <w:ind w:left="580" w:hanging="247"/>
        <w:spacing w:after="0"/>
        <w:tabs>
          <w:tab w:leader="none" w:pos="5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6"/>
          <w:szCs w:val="16"/>
          <w:color w:val="auto"/>
        </w:rPr>
        <w:t>The information contained in the Form 10-Q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ind w:left="5060"/>
        <w:spacing w:after="0"/>
        <w:rPr>
          <w:sz w:val="20"/>
          <w:szCs w:val="20"/>
          <w:color w:val="auto"/>
        </w:rPr>
      </w:pPr>
      <w:r>
        <w:rPr>
          <w:rFonts w:ascii="Times New Roman" w:cs="Times New Roman" w:eastAsia="Times New Roman" w:hAnsi="Times New Roman"/>
          <w:sz w:val="16"/>
          <w:szCs w:val="16"/>
          <w:color w:val="auto"/>
        </w:rPr>
        <w:t>/s/ Charles J.</w:t>
      </w:r>
    </w:p>
    <w:p>
      <w:pPr>
        <w:ind w:left="5060"/>
        <w:spacing w:after="0"/>
        <w:rPr>
          <w:sz w:val="20"/>
          <w:szCs w:val="20"/>
          <w:color w:val="auto"/>
        </w:rPr>
      </w:pPr>
      <w:r>
        <w:rPr>
          <w:rFonts w:ascii="Times New Roman" w:cs="Times New Roman" w:eastAsia="Times New Roman" w:hAnsi="Times New Roman"/>
          <w:sz w:val="16"/>
          <w:szCs w:val="16"/>
          <w:color w:val="auto"/>
        </w:rPr>
        <w:t>Daley,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3202940</wp:posOffset>
            </wp:positionH>
            <wp:positionV relativeFrom="paragraph">
              <wp:posOffset>8890</wp:posOffset>
            </wp:positionV>
            <wp:extent cx="634365"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34365" cy="8255"/>
                    </a:xfrm>
                    <a:prstGeom prst="rect">
                      <a:avLst/>
                    </a:prstGeom>
                    <a:noFill/>
                  </pic:spPr>
                </pic:pic>
              </a:graphicData>
            </a:graphic>
          </wp:anchor>
        </w:drawing>
      </w:r>
    </w:p>
    <w:p>
      <w:pPr>
        <w:spacing w:after="0" w:line="4" w:lineRule="exact"/>
        <w:rPr>
          <w:sz w:val="20"/>
          <w:szCs w:val="20"/>
          <w:color w:val="auto"/>
        </w:rPr>
      </w:pPr>
    </w:p>
    <w:p>
      <w:pPr>
        <w:ind w:left="5060"/>
        <w:spacing w:after="0"/>
        <w:rPr>
          <w:sz w:val="20"/>
          <w:szCs w:val="20"/>
          <w:color w:val="auto"/>
        </w:rPr>
      </w:pPr>
      <w:r>
        <w:rPr>
          <w:rFonts w:ascii="Times New Roman" w:cs="Times New Roman" w:eastAsia="Times New Roman" w:hAnsi="Times New Roman"/>
          <w:sz w:val="16"/>
          <w:szCs w:val="16"/>
          <w:color w:val="auto"/>
        </w:rPr>
        <w:t>Charles J.</w:t>
      </w:r>
    </w:p>
    <w:p>
      <w:pPr>
        <w:ind w:left="5060"/>
        <w:spacing w:after="0" w:line="211" w:lineRule="auto"/>
        <w:rPr>
          <w:sz w:val="20"/>
          <w:szCs w:val="20"/>
          <w:color w:val="auto"/>
        </w:rPr>
      </w:pPr>
      <w:r>
        <w:rPr>
          <w:rFonts w:ascii="Times New Roman" w:cs="Times New Roman" w:eastAsia="Times New Roman" w:hAnsi="Times New Roman"/>
          <w:sz w:val="16"/>
          <w:szCs w:val="16"/>
          <w:color w:val="auto"/>
        </w:rPr>
        <w:t>Daley, Jr.</w:t>
      </w:r>
    </w:p>
    <w:p>
      <w:pPr>
        <w:ind w:left="5060"/>
        <w:spacing w:after="0" w:line="211" w:lineRule="auto"/>
        <w:rPr>
          <w:sz w:val="20"/>
          <w:szCs w:val="20"/>
          <w:color w:val="auto"/>
        </w:rPr>
      </w:pPr>
      <w:r>
        <w:rPr>
          <w:rFonts w:ascii="Times New Roman" w:cs="Times New Roman" w:eastAsia="Times New Roman" w:hAnsi="Times New Roman"/>
          <w:sz w:val="16"/>
          <w:szCs w:val="16"/>
          <w:color w:val="auto"/>
        </w:rPr>
        <w:t>Executive</w:t>
      </w:r>
    </w:p>
    <w:p>
      <w:pPr>
        <w:ind w:left="5060"/>
        <w:spacing w:after="0" w:line="211" w:lineRule="auto"/>
        <w:rPr>
          <w:sz w:val="20"/>
          <w:szCs w:val="20"/>
          <w:color w:val="auto"/>
        </w:rPr>
      </w:pPr>
      <w:r>
        <w:rPr>
          <w:rFonts w:ascii="Times New Roman" w:cs="Times New Roman" w:eastAsia="Times New Roman" w:hAnsi="Times New Roman"/>
          <w:sz w:val="16"/>
          <w:szCs w:val="16"/>
          <w:color w:val="auto"/>
        </w:rPr>
        <w:t>Vice</w:t>
      </w:r>
    </w:p>
    <w:p>
      <w:pPr>
        <w:ind w:left="5060"/>
        <w:spacing w:after="0" w:line="212" w:lineRule="auto"/>
        <w:rPr>
          <w:sz w:val="20"/>
          <w:szCs w:val="20"/>
          <w:color w:val="auto"/>
        </w:rPr>
      </w:pPr>
      <w:r>
        <w:rPr>
          <w:rFonts w:ascii="Times New Roman" w:cs="Times New Roman" w:eastAsia="Times New Roman" w:hAnsi="Times New Roman"/>
          <w:sz w:val="16"/>
          <w:szCs w:val="16"/>
          <w:color w:val="auto"/>
        </w:rPr>
        <w:t>President,</w:t>
      </w:r>
    </w:p>
    <w:p>
      <w:pPr>
        <w:ind w:left="5060"/>
        <w:spacing w:after="0" w:line="211" w:lineRule="auto"/>
        <w:rPr>
          <w:sz w:val="20"/>
          <w:szCs w:val="20"/>
          <w:color w:val="auto"/>
        </w:rPr>
      </w:pPr>
      <w:r>
        <w:rPr>
          <w:rFonts w:ascii="Times New Roman" w:cs="Times New Roman" w:eastAsia="Times New Roman" w:hAnsi="Times New Roman"/>
          <w:sz w:val="16"/>
          <w:szCs w:val="16"/>
          <w:color w:val="auto"/>
        </w:rPr>
        <w:t>Chief</w:t>
      </w:r>
    </w:p>
    <w:p>
      <w:pPr>
        <w:ind w:left="5060"/>
        <w:spacing w:after="0" w:line="211" w:lineRule="auto"/>
        <w:rPr>
          <w:sz w:val="20"/>
          <w:szCs w:val="20"/>
          <w:color w:val="auto"/>
        </w:rPr>
      </w:pPr>
      <w:r>
        <w:rPr>
          <w:rFonts w:ascii="Times New Roman" w:cs="Times New Roman" w:eastAsia="Times New Roman" w:hAnsi="Times New Roman"/>
          <w:sz w:val="16"/>
          <w:szCs w:val="16"/>
          <w:color w:val="auto"/>
        </w:rPr>
        <w:t>Financial</w:t>
      </w:r>
    </w:p>
    <w:p>
      <w:pPr>
        <w:ind w:left="5060"/>
        <w:spacing w:after="0" w:line="212" w:lineRule="auto"/>
        <w:rPr>
          <w:sz w:val="20"/>
          <w:szCs w:val="20"/>
          <w:color w:val="auto"/>
        </w:rPr>
      </w:pPr>
      <w:r>
        <w:rPr>
          <w:rFonts w:ascii="Times New Roman" w:cs="Times New Roman" w:eastAsia="Times New Roman" w:hAnsi="Times New Roman"/>
          <w:sz w:val="16"/>
          <w:szCs w:val="16"/>
          <w:color w:val="auto"/>
        </w:rPr>
        <w:t>Officer and</w:t>
      </w:r>
    </w:p>
    <w:p>
      <w:pPr>
        <w:ind w:left="5060"/>
        <w:spacing w:after="0" w:line="211" w:lineRule="auto"/>
        <w:rPr>
          <w:sz w:val="20"/>
          <w:szCs w:val="20"/>
          <w:color w:val="auto"/>
        </w:rPr>
      </w:pPr>
      <w:r>
        <w:rPr>
          <w:rFonts w:ascii="Times New Roman" w:cs="Times New Roman" w:eastAsia="Times New Roman" w:hAnsi="Times New Roman"/>
          <w:sz w:val="16"/>
          <w:szCs w:val="16"/>
          <w:color w:val="auto"/>
        </w:rPr>
        <w:t>Treasurer</w:t>
      </w:r>
    </w:p>
    <w:p>
      <w:pPr>
        <w:ind w:left="5060"/>
        <w:spacing w:after="0" w:line="211" w:lineRule="auto"/>
        <w:rPr>
          <w:sz w:val="20"/>
          <w:szCs w:val="20"/>
          <w:color w:val="auto"/>
        </w:rPr>
      </w:pPr>
      <w:r>
        <w:rPr>
          <w:rFonts w:ascii="Times New Roman" w:cs="Times New Roman" w:eastAsia="Times New Roman" w:hAnsi="Times New Roman"/>
          <w:sz w:val="16"/>
          <w:szCs w:val="16"/>
          <w:color w:val="auto"/>
        </w:rPr>
        <w:t>(principal</w:t>
      </w:r>
    </w:p>
    <w:p>
      <w:pPr>
        <w:ind w:left="5060"/>
        <w:spacing w:after="0" w:line="212" w:lineRule="auto"/>
        <w:rPr>
          <w:sz w:val="20"/>
          <w:szCs w:val="20"/>
          <w:color w:val="auto"/>
        </w:rPr>
      </w:pPr>
      <w:r>
        <w:rPr>
          <w:rFonts w:ascii="Times New Roman" w:cs="Times New Roman" w:eastAsia="Times New Roman" w:hAnsi="Times New Roman"/>
          <w:sz w:val="16"/>
          <w:szCs w:val="16"/>
          <w:color w:val="auto"/>
        </w:rPr>
        <w:t>financial</w:t>
      </w:r>
    </w:p>
    <w:p>
      <w:pPr>
        <w:ind w:left="5060"/>
        <w:spacing w:after="0"/>
        <w:rPr>
          <w:sz w:val="20"/>
          <w:szCs w:val="20"/>
          <w:color w:val="auto"/>
        </w:rPr>
      </w:pPr>
      <w:r>
        <w:rPr>
          <w:rFonts w:ascii="Times New Roman" w:cs="Times New Roman" w:eastAsia="Times New Roman" w:hAnsi="Times New Roman"/>
          <w:sz w:val="16"/>
          <w:szCs w:val="16"/>
          <w:color w:val="auto"/>
        </w:rPr>
        <w:t>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6"/>
          <w:szCs w:val="16"/>
          <w:color w:val="auto"/>
        </w:rPr>
        <w:t>Date: May 4, 2026</w:t>
      </w:r>
    </w:p>
    <w:sectPr>
      <w:pgSz w:w="11900" w:h="16838" w:orient="portrait"/>
      <w:cols w:equalWidth="0" w:num="1">
        <w:col w:w="11080"/>
      </w:cols>
      <w:pgMar w:left="400" w:top="574" w:right="4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5E45D32"/>
    <w:multiLevelType w:val="hybridMultilevel"/>
    <w:lvl w:ilvl="0">
      <w:lvlJc w:val="left"/>
      <w:lvlText w:val="☑"/>
      <w:numFmt w:val="bullet"/>
      <w:start w:val="1"/>
    </w:lvl>
  </w:abstractNum>
  <w:abstractNum w:abstractNumId="1">
    <w:nsid w:val="519B500D"/>
    <w:multiLevelType w:val="hybridMultilevel"/>
    <w:lvl w:ilvl="0">
      <w:lvlJc w:val="left"/>
      <w:lvlText w:val="☐"/>
      <w:numFmt w:val="bullet"/>
      <w:start w:val="1"/>
    </w:lvl>
  </w:abstractNum>
  <w:abstractNum w:abstractNumId="2">
    <w:nsid w:val="431BD7B7"/>
    <w:multiLevelType w:val="hybridMultilevel"/>
    <w:lvl w:ilvl="0">
      <w:lvlJc w:val="left"/>
      <w:lvlText w:val="•"/>
      <w:numFmt w:val="bullet"/>
      <w:start w:val="1"/>
    </w:lvl>
  </w:abstractNum>
  <w:abstractNum w:abstractNumId="3">
    <w:nsid w:val="3F2DBA31"/>
    <w:multiLevelType w:val="hybridMultilevel"/>
    <w:lvl w:ilvl="0">
      <w:lvlJc w:val="left"/>
      <w:lvlText w:val="(%1)"/>
      <w:numFmt w:val="decimal"/>
      <w:start w:val="1"/>
    </w:lvl>
  </w:abstractNum>
  <w:abstractNum w:abstractNumId="4">
    <w:nsid w:val="7C83E458"/>
    <w:multiLevelType w:val="hybridMultilevel"/>
    <w:lvl w:ilvl="0">
      <w:lvlJc w:val="left"/>
      <w:lvlText w:val="•"/>
      <w:numFmt w:val="bullet"/>
      <w:start w:val="1"/>
    </w:lvl>
  </w:abstractNum>
  <w:abstractNum w:abstractNumId="5">
    <w:nsid w:val="257130A3"/>
    <w:multiLevelType w:val="hybridMultilevel"/>
    <w:lvl w:ilvl="0">
      <w:lvlJc w:val="left"/>
      <w:lvlText w:val="(%1)"/>
      <w:numFmt w:val="decimal"/>
      <w:start w:val="1"/>
    </w:lvl>
  </w:abstractNum>
  <w:abstractNum w:abstractNumId="6">
    <w:nsid w:val="62BBD95A"/>
    <w:multiLevelType w:val="hybridMultilevel"/>
    <w:lvl w:ilvl="0">
      <w:lvlJc w:val="left"/>
      <w:lvlText w:val="(%1)"/>
      <w:numFmt w:val="decimal"/>
      <w:start w:val="1"/>
    </w:lvl>
  </w:abstractNum>
  <w:abstractNum w:abstractNumId="7">
    <w:nsid w:val="436C6125"/>
    <w:multiLevelType w:val="hybridMultilevel"/>
    <w:lvl w:ilvl="0">
      <w:lvlJc w:val="left"/>
      <w:lvlText w:val="(%1)"/>
      <w:numFmt w:val="decimal"/>
      <w:start w:val="1"/>
    </w:lvl>
  </w:abstractNum>
  <w:abstractNum w:abstractNumId="8">
    <w:nsid w:val="628C895D"/>
    <w:multiLevelType w:val="hybridMultilevel"/>
    <w:lvl w:ilvl="0">
      <w:lvlJc w:val="left"/>
      <w:lvlText w:val="(%1)"/>
      <w:numFmt w:val="decimal"/>
      <w:start w:val="1"/>
    </w:lvl>
  </w:abstractNum>
  <w:abstractNum w:abstractNumId="9">
    <w:nsid w:val="333AB105"/>
    <w:multiLevelType w:val="hybridMultilevel"/>
    <w:lvl w:ilvl="0">
      <w:lvlJc w:val="left"/>
      <w:lvlText w:val="(%1)"/>
      <w:numFmt w:val="decimal"/>
      <w:start w:val="1"/>
    </w:lvl>
  </w:abstractNum>
  <w:abstractNum w:abstractNumId="10">
    <w:nsid w:val="721DA317"/>
    <w:multiLevelType w:val="hybridMultilevel"/>
    <w:lvl w:ilvl="0">
      <w:lvlJc w:val="left"/>
      <w:lvlText w:val="(%1)"/>
      <w:numFmt w:val="decimal"/>
      <w:start w:val="1"/>
    </w:lvl>
  </w:abstractNum>
  <w:abstractNum w:abstractNumId="11">
    <w:nsid w:val="2443A858"/>
    <w:multiLevelType w:val="hybridMultilevel"/>
    <w:lvl w:ilvl="0">
      <w:lvlJc w:val="left"/>
      <w:lvlText w:val="(%1)"/>
      <w:numFmt w:val="decimal"/>
      <w:start w:val="1"/>
    </w:lvl>
  </w:abstractNum>
  <w:abstractNum w:abstractNumId="12">
    <w:nsid w:val="2D1D5AE9"/>
    <w:multiLevelType w:val="hybridMultilevel"/>
    <w:lvl w:ilvl="0">
      <w:lvlJc w:val="left"/>
      <w:lvlText w:val="(%1)"/>
      <w:numFmt w:val="decimal"/>
      <w:start w:val="1"/>
    </w:lvl>
  </w:abstractNum>
  <w:abstractNum w:abstractNumId="13">
    <w:nsid w:val="6763845E"/>
    <w:multiLevelType w:val="hybridMultilevel"/>
    <w:lvl w:ilvl="0">
      <w:lvlJc w:val="left"/>
      <w:lvlText w:val="(%1)"/>
      <w:numFmt w:val="decimal"/>
      <w:start w:val="1"/>
    </w:lvl>
  </w:abstractNum>
  <w:abstractNum w:abstractNumId="14">
    <w:nsid w:val="75A2A8D4"/>
    <w:multiLevelType w:val="hybridMultilevel"/>
    <w:lvl w:ilvl="0">
      <w:lvlJc w:val="left"/>
      <w:lvlText w:val="(%1)"/>
      <w:numFmt w:val="decimal"/>
      <w:start w:val="1"/>
    </w:lvl>
  </w:abstractNum>
  <w:abstractNum w:abstractNumId="15">
    <w:nsid w:val="8EDBDAB"/>
    <w:multiLevelType w:val="hybridMultilevel"/>
    <w:lvl w:ilvl="0">
      <w:lvlJc w:val="left"/>
      <w:lvlText w:val="•"/>
      <w:numFmt w:val="bullet"/>
      <w:start w:val="1"/>
    </w:lvl>
  </w:abstractNum>
  <w:abstractNum w:abstractNumId="16">
    <w:nsid w:val="79838CB2"/>
    <w:multiLevelType w:val="hybridMultilevel"/>
    <w:lvl w:ilvl="0">
      <w:lvlJc w:val="left"/>
      <w:lvlText w:val="(%1)"/>
      <w:numFmt w:val="decimal"/>
      <w:start w:val="1"/>
    </w:lvl>
  </w:abstractNum>
  <w:abstractNum w:abstractNumId="17">
    <w:nsid w:val="4353D0CD"/>
    <w:multiLevelType w:val="hybridMultilevel"/>
    <w:lvl w:ilvl="0">
      <w:lvlJc w:val="left"/>
      <w:lvlText w:val="•"/>
      <w:numFmt w:val="bullet"/>
      <w:start w:val="1"/>
    </w:lvl>
  </w:abstractNum>
  <w:abstractNum w:abstractNumId="18">
    <w:nsid w:val="B03E0C6"/>
    <w:multiLevelType w:val="hybridMultilevel"/>
    <w:lvl w:ilvl="0">
      <w:lvlJc w:val="left"/>
      <w:lvlText w:val="(%1)"/>
      <w:numFmt w:val="decimal"/>
      <w:start w:val="1"/>
    </w:lvl>
  </w:abstractNum>
  <w:abstractNum w:abstractNumId="19">
    <w:nsid w:val="189A769B"/>
    <w:multiLevelType w:val="hybridMultilevel"/>
    <w:lvl w:ilvl="0">
      <w:lvlJc w:val="left"/>
      <w:lvlText w:val="(%1)"/>
      <w:numFmt w:val="decimal"/>
      <w:start w:val="1"/>
    </w:lvl>
  </w:abstractNum>
  <w:abstractNum w:abstractNumId="20">
    <w:nsid w:val="54E49EB4"/>
    <w:multiLevelType w:val="hybridMultilevel"/>
    <w:lvl w:ilvl="0">
      <w:lvlJc w:val="left"/>
      <w:lvlText w:val="(%1)"/>
      <w:numFmt w:val="decimal"/>
      <w:start w:val="1"/>
    </w:lvl>
  </w:abstractNum>
  <w:abstractNum w:abstractNumId="21">
    <w:nsid w:val="71F32454"/>
    <w:multiLevelType w:val="hybridMultilevel"/>
    <w:lvl w:ilvl="0">
      <w:lvlJc w:val="left"/>
      <w:lvlText w:val="(%1)"/>
      <w:numFmt w:val="decimal"/>
      <w:start w:val="1"/>
    </w:lvl>
  </w:abstractNum>
  <w:abstractNum w:abstractNumId="22">
    <w:nsid w:val="2CA88611"/>
    <w:multiLevelType w:val="hybridMultilevel"/>
    <w:lvl w:ilvl="0">
      <w:lvlJc w:val="left"/>
      <w:lvlText w:val="(%1)"/>
      <w:numFmt w:val="decimal"/>
      <w:start w:val="1"/>
    </w:lvl>
  </w:abstractNum>
  <w:abstractNum w:abstractNumId="23">
    <w:nsid w:val="836C40E"/>
    <w:multiLevelType w:val="hybridMultilevel"/>
    <w:lvl w:ilvl="0">
      <w:lvlJc w:val="left"/>
      <w:lvlText w:val="(%1)"/>
      <w:numFmt w:val="decimal"/>
      <w:start w:val="1"/>
    </w:lvl>
  </w:abstractNum>
  <w:abstractNum w:abstractNumId="24">
    <w:nsid w:val="2901D82"/>
    <w:multiLevelType w:val="hybridMultilevel"/>
    <w:lvl w:ilvl="0">
      <w:lvlJc w:val="left"/>
      <w:lvlText w:val="(%1)"/>
      <w:numFmt w:val="decimal"/>
      <w:start w:val="1"/>
    </w:lvl>
  </w:abstractNum>
  <w:abstractNum w:abstractNumId="25">
    <w:nsid w:val="3A95F874"/>
    <w:multiLevelType w:val="hybridMultilevel"/>
    <w:lvl w:ilvl="0">
      <w:lvlJc w:val="left"/>
      <w:lvlText w:val="(%1)"/>
      <w:numFmt w:val="decimal"/>
      <w:start w:val="1"/>
    </w:lvl>
  </w:abstractNum>
  <w:abstractNum w:abstractNumId="26">
    <w:nsid w:val="8138641"/>
    <w:multiLevelType w:val="hybridMultilevel"/>
    <w:lvl w:ilvl="0">
      <w:lvlJc w:val="left"/>
      <w:lvlText w:val="•"/>
      <w:numFmt w:val="bullet"/>
      <w:start w:val="1"/>
    </w:lvl>
    <w:lvl w:ilvl="1">
      <w:lvlJc w:val="left"/>
      <w:lvlText w:val="(%2)"/>
      <w:numFmt w:val="decimal"/>
      <w:start w:val="5"/>
    </w:lvl>
  </w:abstractNum>
  <w:abstractNum w:abstractNumId="27">
    <w:nsid w:val="1E7FF521"/>
    <w:multiLevelType w:val="hybridMultilevel"/>
    <w:lvl w:ilvl="0">
      <w:lvlJc w:val="left"/>
      <w:lvlText w:val="(%1)"/>
      <w:numFmt w:val="decimal"/>
      <w:start w:val="1"/>
    </w:lvl>
  </w:abstractNum>
  <w:abstractNum w:abstractNumId="28">
    <w:nsid w:val="7C3DBD3D"/>
    <w:multiLevelType w:val="hybridMultilevel"/>
    <w:lvl w:ilvl="0">
      <w:lvlJc w:val="left"/>
      <w:lvlText w:val="(%1)"/>
      <w:numFmt w:val="lowerLetter"/>
      <w:start w:val="1"/>
    </w:lvl>
  </w:abstractNum>
  <w:abstractNum w:abstractNumId="29">
    <w:nsid w:val="737B8DDC"/>
    <w:multiLevelType w:val="hybridMultilevel"/>
    <w:lvl w:ilvl="0">
      <w:lvlJc w:val="left"/>
      <w:lvlText w:val="%1."/>
      <w:numFmt w:val="decimal"/>
      <w:start w:val="1"/>
    </w:lvl>
    <w:lvl w:ilvl="1">
      <w:lvlJc w:val="left"/>
      <w:lvlText w:val="%2."/>
      <w:numFmt w:val="lowerLetter"/>
      <w:start w:val="1"/>
    </w:lvl>
  </w:abstractNum>
  <w:abstractNum w:abstractNumId="30">
    <w:nsid w:val="6CEAF087"/>
    <w:multiLevelType w:val="hybridMultilevel"/>
    <w:lvl w:ilvl="0">
      <w:lvlJc w:val="left"/>
      <w:lvlText w:val="%1."/>
      <w:numFmt w:val="decimal"/>
      <w:start w:val="1"/>
    </w:lvl>
    <w:lvl w:ilvl="1">
      <w:lvlJc w:val="left"/>
      <w:lvlText w:val="%2."/>
      <w:numFmt w:val="lowerLetter"/>
      <w:start w:val="1"/>
    </w:lvl>
  </w:abstractNum>
  <w:abstractNum w:abstractNumId="31">
    <w:nsid w:val="22221A70"/>
    <w:multiLevelType w:val="hybridMultilevel"/>
    <w:lvl w:ilvl="0">
      <w:lvlJc w:val="left"/>
      <w:lvlText w:val="•"/>
      <w:numFmt w:val="bullet"/>
      <w:start w:val="1"/>
    </w:lvl>
  </w:abstractNum>
  <w:abstractNum w:abstractNumId="32">
    <w:nsid w:val="4516DDE9"/>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2026-05-04T15:49:27Z</dcterms:created>
  <dcterms:modified xsi:type="dcterms:W3CDTF">2026-05-04T15:49:27Z</dcterms:modified>
</cp:coreProperties>
</file>