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7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11,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Artisan Partners Asset Management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2"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2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001-35826</w:t>
            </w: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79"/>
        </w:trPr>
        <w:tc>
          <w:tcPr>
            <w:tcW w:w="2220" w:type="dxa"/>
            <w:vAlign w:val="bottom"/>
          </w:tcPr>
          <w:p>
            <w:pPr>
              <w:jc w:val="center"/>
              <w:ind w:right="119"/>
              <w:spacing w:after="0" w:line="179"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04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600" w:type="dxa"/>
            <w:vAlign w:val="bottom"/>
          </w:tcPr>
          <w:p>
            <w:pPr>
              <w:jc w:val="center"/>
              <w:ind w:left="339"/>
              <w:spacing w:after="0" w:line="179" w:lineRule="exact"/>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2220" w:type="dxa"/>
            <w:vAlign w:val="bottom"/>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3040" w:type="dxa"/>
            <w:vAlign w:val="bottom"/>
          </w:tcPr>
          <w:p>
            <w:pPr>
              <w:spacing w:after="0"/>
              <w:rPr>
                <w:sz w:val="18"/>
                <w:szCs w:val="18"/>
                <w:color w:val="auto"/>
              </w:rPr>
            </w:pPr>
          </w:p>
        </w:tc>
        <w:tc>
          <w:tcPr>
            <w:tcW w:w="1600" w:type="dxa"/>
            <w:vAlign w:val="bottom"/>
          </w:tcPr>
          <w:p>
            <w:pPr>
              <w:jc w:val="center"/>
              <w:ind w:left="33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341"/>
        </w:trPr>
        <w:tc>
          <w:tcPr>
            <w:tcW w:w="2220" w:type="dxa"/>
            <w:vAlign w:val="bottom"/>
          </w:tcPr>
          <w:p>
            <w:pPr>
              <w:spacing w:after="0"/>
              <w:rPr>
                <w:sz w:val="24"/>
                <w:szCs w:val="24"/>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60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Milwaukee, WI 53202</w:t>
            </w:r>
          </w:p>
        </w:tc>
        <w:tc>
          <w:tcPr>
            <w:tcW w:w="1600" w:type="dxa"/>
            <w:vAlign w:val="bottom"/>
          </w:tcPr>
          <w:p>
            <w:pPr>
              <w:spacing w:after="0"/>
              <w:rPr>
                <w:sz w:val="18"/>
                <w:szCs w:val="18"/>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and zip</w:t>
      </w:r>
    </w:p>
    <w:p>
      <w:pPr>
        <w:jc w:val="center"/>
        <w:spacing w:after="0"/>
        <w:rPr>
          <w:sz w:val="20"/>
          <w:szCs w:val="20"/>
          <w:color w:val="auto"/>
        </w:rPr>
      </w:pPr>
      <w:r>
        <w:rPr>
          <w:rFonts w:ascii="Times New Roman" w:cs="Times New Roman" w:eastAsia="Times New Roman" w:hAnsi="Times New Roman"/>
          <w:sz w:val="16"/>
          <w:szCs w:val="16"/>
          <w:i w:val="1"/>
          <w:iCs w:val="1"/>
          <w:color w:val="auto"/>
        </w:rPr>
        <w:t>code)</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(414) 390-6100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26" w:lineRule="exact"/>
        <w:rPr>
          <w:sz w:val="24"/>
          <w:szCs w:val="24"/>
          <w:color w:val="auto"/>
        </w:rPr>
      </w:pPr>
    </w:p>
    <w:p>
      <w:pPr>
        <w:ind w:left="80"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1"/>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APAM</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3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1" w:name="page2"/>
    <w:bookmarkEnd w:id="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May 11, 2026, Artisan Partners Asset Management Inc. (the “Company”) issued a press release reporting certain information about the Company’s preliminary assets under management as of April 30, 2026. A copy of the press release is attached hereto as Exhibit 99.1 and is incorporated herein by reference.</w:t>
      </w:r>
    </w:p>
    <w:p>
      <w:pPr>
        <w:spacing w:after="0" w:line="68"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6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of Artisan Partners Asset Management Inc. dated May 11, 2026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260" w:hanging="820"/>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11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Charles J. Daley,</w:t>
      </w: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13335</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0"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J. Daley, Jr.</w:t>
      </w:r>
    </w:p>
    <w:p>
      <w:pPr>
        <w:spacing w:after="0" w:line="1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w:t>
      </w:r>
    </w:p>
    <w:p>
      <w:pPr>
        <w:ind w:left="6320"/>
        <w:spacing w:after="0" w:line="203" w:lineRule="auto"/>
        <w:rPr>
          <w:sz w:val="20"/>
          <w:szCs w:val="20"/>
          <w:color w:val="auto"/>
        </w:rPr>
      </w:pPr>
      <w:r>
        <w:rPr>
          <w:rFonts w:ascii="Times New Roman" w:cs="Times New Roman" w:eastAsia="Times New Roman" w:hAnsi="Times New Roman"/>
          <w:sz w:val="18"/>
          <w:szCs w:val="18"/>
          <w:color w:val="auto"/>
        </w:rPr>
        <w:t>President, Chief</w:t>
      </w:r>
    </w:p>
    <w:p>
      <w:pPr>
        <w:ind w:left="6320"/>
        <w:spacing w:after="0" w:line="219" w:lineRule="auto"/>
        <w:rPr>
          <w:sz w:val="20"/>
          <w:szCs w:val="20"/>
          <w:color w:val="auto"/>
        </w:rPr>
      </w:pPr>
      <w:r>
        <w:rPr>
          <w:rFonts w:ascii="Times New Roman" w:cs="Times New Roman" w:eastAsia="Times New Roman" w:hAnsi="Times New Roman"/>
          <w:sz w:val="18"/>
          <w:szCs w:val="18"/>
          <w:color w:val="auto"/>
        </w:rPr>
        <w:t>Financial Officer</w:t>
      </w:r>
    </w:p>
    <w:p>
      <w:pPr>
        <w:spacing w:after="0" w:line="1" w:lineRule="exact"/>
        <w:rPr>
          <w:sz w:val="20"/>
          <w:szCs w:val="20"/>
          <w:color w:val="auto"/>
        </w:rPr>
      </w:pPr>
    </w:p>
    <w:p>
      <w:pPr>
        <w:ind w:left="570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and Treasurer</w:t>
      </w:r>
    </w:p>
    <w:p>
      <w:pPr>
        <w:sectPr>
          <w:pgSz w:w="11900" w:h="16838" w:orient="portrait"/>
          <w:cols w:equalWidth="0" w:num="1">
            <w:col w:w="11200"/>
          </w:cols>
          <w:pgMar w:left="320" w:top="765" w:right="37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846445"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3723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color w:val="auto"/>
        </w:rPr>
        <w:t>Artisan Partners Asset Management Inc. Reports April 2026 Assets Under Management</w:t>
      </w:r>
    </w:p>
    <w:p>
      <w:pPr>
        <w:spacing w:after="0" w:line="13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Milwaukee, WI - May 11, 2026 - Artisan Partners Asset Management Inc. (NYSE: APAM) today reported that its preliminary assets under management ("AUM") as of April 30, 2026 totaled $183.0 billion. Artisan Funds and Artisan Global Funds accounted for $89.1 billion of total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firm AUM, while separate accounts and other AUM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accounted for $93.9 billion.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PRELIMINARY ASSETS UNDER MANAGEMENT BY STRATEGY</w:t>
      </w:r>
      <w:r>
        <w:rPr>
          <w:rFonts w:ascii="Arial" w:cs="Arial" w:eastAsia="Arial" w:hAnsi="Arial"/>
          <w:sz w:val="23"/>
          <w:szCs w:val="23"/>
          <w:color w:val="auto"/>
          <w:vertAlign w:val="superscript"/>
        </w:rPr>
        <w:t>2</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April 30, 2026 - ($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FFFFFF"/>
        </w:rPr>
        <w:t>Growth Team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Opportunities</w:t>
            </w:r>
          </w:p>
        </w:tc>
        <w:tc>
          <w:tcPr>
            <w:tcW w:w="220" w:type="dxa"/>
            <w:vAlign w:val="bottom"/>
            <w:tcBorders>
              <w:top w:val="single" w:sz="8" w:color="999999"/>
              <w:bottom w:val="single" w:sz="8" w:color="999999"/>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999999"/>
              <w:bottom w:val="single" w:sz="8" w:color="999999"/>
            </w:tcBorders>
          </w:tcPr>
          <w:p>
            <w:pPr>
              <w:jc w:val="right"/>
              <w:ind w:right="1030"/>
              <w:spacing w:after="0"/>
              <w:rPr>
                <w:sz w:val="20"/>
                <w:szCs w:val="20"/>
                <w:color w:val="auto"/>
              </w:rPr>
            </w:pPr>
            <w:r>
              <w:rPr>
                <w:rFonts w:ascii="Arial" w:cs="Arial" w:eastAsia="Arial" w:hAnsi="Arial"/>
                <w:sz w:val="18"/>
                <w:szCs w:val="18"/>
                <w:color w:val="auto"/>
              </w:rPr>
              <w:t>14,572</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Discovery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1,083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9,768</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Small-Cap Growth</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2,852</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Franchise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962</w:t>
            </w:r>
          </w:p>
        </w:tc>
      </w:tr>
      <w:tr>
        <w:trPr>
          <w:trHeight w:val="243"/>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Equity Team</w:t>
            </w:r>
          </w:p>
        </w:tc>
        <w:tc>
          <w:tcPr>
            <w:tcW w:w="220" w:type="dxa"/>
            <w:vAlign w:val="bottom"/>
            <w:shd w:val="clear" w:color="auto" w:fill="999999"/>
          </w:tcPr>
          <w:p>
            <w:pPr>
              <w:spacing w:after="0"/>
              <w:rPr>
                <w:sz w:val="21"/>
                <w:szCs w:val="21"/>
                <w:color w:val="auto"/>
              </w:rPr>
            </w:pPr>
          </w:p>
        </w:tc>
        <w:tc>
          <w:tcPr>
            <w:tcW w:w="1880" w:type="dxa"/>
            <w:vAlign w:val="bottom"/>
            <w:shd w:val="clear" w:color="auto" w:fill="999999"/>
          </w:tcPr>
          <w:p>
            <w:pPr>
              <w:spacing w:after="0"/>
              <w:rPr>
                <w:sz w:val="21"/>
                <w:szCs w:val="21"/>
                <w:color w:val="auto"/>
              </w:rPr>
            </w:pPr>
          </w:p>
        </w:tc>
      </w:tr>
      <w:tr>
        <w:trPr>
          <w:trHeight w:val="229"/>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443</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Non-U.S.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17,135</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U.S.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Value Equity</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6,065</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U.S. Mid-Cap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1,901</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Value Income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8</w:t>
            </w:r>
          </w:p>
        </w:tc>
      </w:tr>
      <w:tr>
        <w:trPr>
          <w:trHeight w:val="230"/>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Value Group</w:t>
            </w:r>
          </w:p>
        </w:tc>
        <w:tc>
          <w:tcPr>
            <w:tcW w:w="220" w:type="dxa"/>
            <w:vAlign w:val="bottom"/>
            <w:shd w:val="clear" w:color="auto" w:fill="999999"/>
          </w:tcPr>
          <w:p>
            <w:pPr>
              <w:spacing w:after="0"/>
              <w:rPr>
                <w:sz w:val="19"/>
                <w:szCs w:val="19"/>
                <w:color w:val="auto"/>
              </w:rPr>
            </w:pPr>
          </w:p>
        </w:tc>
        <w:tc>
          <w:tcPr>
            <w:tcW w:w="1880" w:type="dxa"/>
            <w:vAlign w:val="bottom"/>
            <w:shd w:val="clear" w:color="auto" w:fill="999999"/>
          </w:tcPr>
          <w:p>
            <w:pPr>
              <w:spacing w:after="0"/>
              <w:rPr>
                <w:sz w:val="19"/>
                <w:szCs w:val="19"/>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53,530</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International Explorer</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1,157</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Global Special Situations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36</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Global Value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Value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37,519</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Select Equity</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1,016</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Sustainable Emerging Markets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Sustainable Emerging Markets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3,066</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Credit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High Income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13,912</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Credit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385</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Floating Rate</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125</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Custom Credit Solutions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1,514</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Developing World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Developing World</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3,253</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Antero Peak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Antero Peak</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2,332</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Antero Peak Hedge</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234</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International Small-Mid Team</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Non-U.S. Small-Mid Growth</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4,249</w:t>
            </w:r>
          </w:p>
        </w:tc>
      </w:tr>
      <w:tr>
        <w:trPr>
          <w:trHeight w:val="257"/>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EMsights Capital Group</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Global Unconstrained</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1,623</w:t>
            </w:r>
          </w:p>
        </w:tc>
      </w:tr>
      <w:tr>
        <w:trPr>
          <w:trHeight w:val="223"/>
        </w:trPr>
        <w:tc>
          <w:tcPr>
            <w:tcW w:w="9140" w:type="dxa"/>
            <w:vAlign w:val="bottom"/>
            <w:tcBorders>
              <w:bottom w:val="single" w:sz="8" w:color="999999"/>
            </w:tcBorders>
          </w:tcPr>
          <w:p>
            <w:pPr>
              <w:ind w:left="140"/>
              <w:spacing w:after="0"/>
              <w:rPr>
                <w:sz w:val="20"/>
                <w:szCs w:val="20"/>
                <w:color w:val="auto"/>
              </w:rPr>
            </w:pPr>
            <w:r>
              <w:rPr>
                <w:rFonts w:ascii="Arial" w:cs="Arial" w:eastAsia="Arial" w:hAnsi="Arial"/>
                <w:sz w:val="18"/>
                <w:szCs w:val="18"/>
                <w:color w:val="auto"/>
              </w:rPr>
              <w:t>Emerging Markets Debt Opportunities</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1,448</w:t>
            </w: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Emerging Markets Local Opportunities</w:t>
            </w:r>
          </w:p>
        </w:tc>
        <w:tc>
          <w:tcPr>
            <w:tcW w:w="220" w:type="dxa"/>
            <w:vAlign w:val="bottom"/>
          </w:tcPr>
          <w:p>
            <w:pPr>
              <w:spacing w:after="0"/>
              <w:rPr>
                <w:sz w:val="19"/>
                <w:szCs w:val="19"/>
                <w:color w:val="auto"/>
              </w:rPr>
            </w:pP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1,903</w:t>
            </w:r>
          </w:p>
        </w:tc>
      </w:tr>
      <w:tr>
        <w:trPr>
          <w:trHeight w:val="256"/>
        </w:trPr>
        <w:tc>
          <w:tcPr>
            <w:tcW w:w="9140" w:type="dxa"/>
            <w:vAlign w:val="bottom"/>
            <w:shd w:val="clear" w:color="auto" w:fill="999999"/>
          </w:tcPr>
          <w:p>
            <w:pPr>
              <w:ind w:left="140"/>
              <w:spacing w:after="0"/>
              <w:rPr>
                <w:sz w:val="20"/>
                <w:szCs w:val="20"/>
                <w:color w:val="auto"/>
              </w:rPr>
            </w:pPr>
            <w:r>
              <w:rPr>
                <w:rFonts w:ascii="Arial" w:cs="Arial" w:eastAsia="Arial" w:hAnsi="Arial"/>
                <w:sz w:val="18"/>
                <w:szCs w:val="18"/>
                <w:color w:val="FFFFFF"/>
              </w:rPr>
              <w:t>Grandview Property Partners</w:t>
            </w:r>
          </w:p>
        </w:tc>
        <w:tc>
          <w:tcPr>
            <w:tcW w:w="220" w:type="dxa"/>
            <w:vAlign w:val="bottom"/>
            <w:shd w:val="clear" w:color="auto" w:fill="999999"/>
          </w:tcPr>
          <w:p>
            <w:pPr>
              <w:spacing w:after="0"/>
              <w:rPr>
                <w:sz w:val="22"/>
                <w:szCs w:val="22"/>
                <w:color w:val="auto"/>
              </w:rPr>
            </w:pPr>
          </w:p>
        </w:tc>
        <w:tc>
          <w:tcPr>
            <w:tcW w:w="1880" w:type="dxa"/>
            <w:vAlign w:val="bottom"/>
            <w:shd w:val="clear" w:color="auto" w:fill="999999"/>
          </w:tcPr>
          <w:p>
            <w:pPr>
              <w:spacing w:after="0"/>
              <w:rPr>
                <w:sz w:val="22"/>
                <w:szCs w:val="22"/>
                <w:color w:val="auto"/>
              </w:rPr>
            </w:pPr>
          </w:p>
        </w:tc>
      </w:tr>
      <w:tr>
        <w:trPr>
          <w:trHeight w:val="230"/>
        </w:trPr>
        <w:tc>
          <w:tcPr>
            <w:tcW w:w="9140" w:type="dxa"/>
            <w:vAlign w:val="bottom"/>
            <w:tcBorders>
              <w:bottom w:val="single" w:sz="8" w:color="999999"/>
            </w:tcBorders>
          </w:tcPr>
          <w:p>
            <w:pPr>
              <w:ind w:left="140"/>
              <w:spacing w:after="0" w:line="230" w:lineRule="exact"/>
              <w:rPr>
                <w:sz w:val="20"/>
                <w:szCs w:val="20"/>
                <w:color w:val="auto"/>
              </w:rPr>
            </w:pPr>
            <w:r>
              <w:rPr>
                <w:rFonts w:ascii="Arial" w:cs="Arial" w:eastAsia="Arial" w:hAnsi="Arial"/>
                <w:sz w:val="18"/>
                <w:szCs w:val="18"/>
                <w:color w:val="auto"/>
              </w:rPr>
              <w:t>Grandview Property Partners</w:t>
            </w:r>
            <w:r>
              <w:rPr>
                <w:rFonts w:ascii="Arial" w:cs="Arial" w:eastAsia="Arial" w:hAnsi="Arial"/>
                <w:sz w:val="23"/>
                <w:szCs w:val="23"/>
                <w:color w:val="auto"/>
                <w:vertAlign w:val="superscript"/>
              </w:rPr>
              <w:t>3</w:t>
            </w:r>
          </w:p>
        </w:tc>
        <w:tc>
          <w:tcPr>
            <w:tcW w:w="220" w:type="dxa"/>
            <w:vAlign w:val="bottom"/>
            <w:tcBorders>
              <w:bottom w:val="single" w:sz="8" w:color="999999"/>
            </w:tcBorders>
          </w:tcPr>
          <w:p>
            <w:pPr>
              <w:spacing w:after="0"/>
              <w:rPr>
                <w:sz w:val="19"/>
                <w:szCs w:val="19"/>
                <w:color w:val="auto"/>
              </w:rPr>
            </w:pPr>
          </w:p>
        </w:tc>
        <w:tc>
          <w:tcPr>
            <w:tcW w:w="1880" w:type="dxa"/>
            <w:vAlign w:val="bottom"/>
            <w:tcBorders>
              <w:bottom w:val="single" w:sz="8" w:color="999999"/>
            </w:tcBorders>
          </w:tcPr>
          <w:p>
            <w:pPr>
              <w:jc w:val="right"/>
              <w:ind w:right="1030"/>
              <w:spacing w:after="0"/>
              <w:rPr>
                <w:sz w:val="20"/>
                <w:szCs w:val="20"/>
                <w:color w:val="auto"/>
              </w:rPr>
            </w:pPr>
            <w:r>
              <w:rPr>
                <w:rFonts w:ascii="Arial" w:cs="Arial" w:eastAsia="Arial" w:hAnsi="Arial"/>
                <w:sz w:val="18"/>
                <w:szCs w:val="18"/>
                <w:color w:val="auto"/>
              </w:rPr>
              <w:t>875</w:t>
            </w:r>
          </w:p>
        </w:tc>
      </w:tr>
      <w:tr>
        <w:trPr>
          <w:trHeight w:val="34"/>
        </w:trPr>
        <w:tc>
          <w:tcPr>
            <w:tcW w:w="9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2"/>
        </w:trPr>
        <w:tc>
          <w:tcPr>
            <w:tcW w:w="9140" w:type="dxa"/>
            <w:vAlign w:val="bottom"/>
          </w:tcPr>
          <w:p>
            <w:pPr>
              <w:ind w:left="140"/>
              <w:spacing w:after="0"/>
              <w:rPr>
                <w:sz w:val="20"/>
                <w:szCs w:val="20"/>
                <w:color w:val="auto"/>
              </w:rPr>
            </w:pPr>
            <w:r>
              <w:rPr>
                <w:rFonts w:ascii="Arial" w:cs="Arial" w:eastAsia="Arial" w:hAnsi="Arial"/>
                <w:sz w:val="18"/>
                <w:szCs w:val="18"/>
                <w:color w:val="auto"/>
              </w:rPr>
              <w:t>Total Firm Assets Under Management ("AUM")</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30"/>
              <w:spacing w:after="0"/>
              <w:rPr>
                <w:sz w:val="20"/>
                <w:szCs w:val="20"/>
                <w:color w:val="auto"/>
              </w:rPr>
            </w:pPr>
            <w:r>
              <w:rPr>
                <w:rFonts w:ascii="Arial" w:cs="Arial" w:eastAsia="Arial" w:hAnsi="Arial"/>
                <w:sz w:val="18"/>
                <w:szCs w:val="18"/>
                <w:color w:val="auto"/>
              </w:rPr>
              <w:t>182,966</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584644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677545"/>
                    </a:xfrm>
                    <a:prstGeom prst="rect">
                      <a:avLst/>
                    </a:prstGeom>
                    <a:noFill/>
                  </pic:spPr>
                </pic:pic>
              </a:graphicData>
            </a:graphic>
          </wp:anchor>
        </w:drawing>
      </w:r>
    </w:p>
    <w:p>
      <w:pPr>
        <w:ind w:right="300" w:firstLine="8"/>
        <w:spacing w:after="0" w:line="232"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ind w:right="860"/>
        <w:spacing w:after="0" w:line="234" w:lineRule="auto"/>
        <w:rPr>
          <w:rFonts w:ascii="Arial" w:cs="Arial" w:eastAsia="Arial" w:hAnsi="Arial"/>
          <w:sz w:val="16"/>
          <w:szCs w:val="16"/>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AUM includes $295.4 million in aggregate for which Artisan Partners provides investment models to managed account sponsors (generally reported on a lag not exceeding one quarter).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Represents NAV plus uncalled and recallable capital.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ABOUT ARTISAN PARTNERS</w:t>
      </w:r>
    </w:p>
    <w:p>
      <w:pPr>
        <w:spacing w:after="0" w:line="223" w:lineRule="auto"/>
        <w:rPr>
          <w:sz w:val="20"/>
          <w:szCs w:val="20"/>
          <w:color w:val="auto"/>
        </w:rPr>
      </w:pPr>
      <w:r>
        <w:rPr>
          <w:rFonts w:ascii="Arial" w:cs="Arial" w:eastAsia="Arial" w:hAnsi="Arial"/>
          <w:sz w:val="16"/>
          <w:szCs w:val="16"/>
          <w:color w:val="auto"/>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Inquiries: 866.632.1770 or ir@artisanpartners.com</w:t>
      </w:r>
    </w:p>
    <w:p>
      <w:pPr>
        <w:spacing w:after="0"/>
        <w:rPr>
          <w:sz w:val="20"/>
          <w:szCs w:val="20"/>
          <w:color w:val="auto"/>
        </w:rPr>
      </w:pPr>
      <w:r>
        <w:rPr>
          <w:rFonts w:ascii="Arial" w:cs="Arial" w:eastAsia="Arial" w:hAnsi="Arial"/>
          <w:sz w:val="18"/>
          <w:szCs w:val="18"/>
          <w:color w:val="auto"/>
        </w:rPr>
        <w:t>Source: Artisan Partners Asset Management Inc.</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2026-05-11T15:30:45Z</dcterms:created>
  <dcterms:modified xsi:type="dcterms:W3CDTF">2026-05-11T15:30:45Z</dcterms:modified>
</cp:coreProperties>
</file>